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9F8766" w14:textId="6AC42B71" w:rsidR="007C631D" w:rsidRDefault="00051336" w:rsidP="005A2721">
      <w:r>
        <w:t xml:space="preserve"> </w:t>
      </w:r>
    </w:p>
    <w:p w14:paraId="682E3594" w14:textId="4FCA5BDC" w:rsidR="00932266" w:rsidRDefault="00932266" w:rsidP="005A2721"/>
    <w:p w14:paraId="2132F2BF" w14:textId="77777777" w:rsidR="00932266" w:rsidRDefault="00932266" w:rsidP="005A2721"/>
    <w:p w14:paraId="28946A1B" w14:textId="77777777" w:rsidR="007C631D" w:rsidRDefault="007C631D" w:rsidP="005A2721"/>
    <w:p w14:paraId="7F87A004" w14:textId="77777777" w:rsidR="005A3601" w:rsidRDefault="005A3601" w:rsidP="005A3601">
      <w:pPr>
        <w:jc w:val="center"/>
        <w:rPr>
          <w:b/>
          <w:sz w:val="28"/>
        </w:rPr>
      </w:pPr>
    </w:p>
    <w:p w14:paraId="55FE4E9B" w14:textId="4BC27ECF" w:rsidR="005A3601" w:rsidRPr="007C631D" w:rsidRDefault="005A3601" w:rsidP="005A3601">
      <w:pPr>
        <w:jc w:val="center"/>
        <w:rPr>
          <w:b/>
          <w:sz w:val="28"/>
        </w:rPr>
      </w:pPr>
      <w:r w:rsidRPr="007C631D">
        <w:rPr>
          <w:b/>
          <w:sz w:val="28"/>
        </w:rPr>
        <w:t>D</w:t>
      </w:r>
      <w:r>
        <w:rPr>
          <w:b/>
          <w:sz w:val="28"/>
        </w:rPr>
        <w:t>o</w:t>
      </w:r>
      <w:r w:rsidRPr="007C631D">
        <w:rPr>
          <w:b/>
          <w:sz w:val="28"/>
        </w:rPr>
        <w:t xml:space="preserve"> S</w:t>
      </w:r>
      <w:r>
        <w:rPr>
          <w:b/>
          <w:sz w:val="28"/>
        </w:rPr>
        <w:t>ome</w:t>
      </w:r>
      <w:r w:rsidRPr="007C631D">
        <w:rPr>
          <w:b/>
          <w:sz w:val="28"/>
        </w:rPr>
        <w:t xml:space="preserve"> S</w:t>
      </w:r>
      <w:r>
        <w:rPr>
          <w:b/>
          <w:sz w:val="28"/>
        </w:rPr>
        <w:t>tars</w:t>
      </w:r>
      <w:r w:rsidRPr="007C631D">
        <w:rPr>
          <w:b/>
          <w:sz w:val="28"/>
        </w:rPr>
        <w:t xml:space="preserve"> S</w:t>
      </w:r>
      <w:r>
        <w:rPr>
          <w:b/>
          <w:sz w:val="28"/>
        </w:rPr>
        <w:t>hine</w:t>
      </w:r>
      <w:r w:rsidRPr="007C631D">
        <w:rPr>
          <w:b/>
          <w:sz w:val="28"/>
        </w:rPr>
        <w:t xml:space="preserve"> B</w:t>
      </w:r>
      <w:r>
        <w:rPr>
          <w:b/>
          <w:sz w:val="28"/>
        </w:rPr>
        <w:t>righter</w:t>
      </w:r>
      <w:r w:rsidRPr="007C631D">
        <w:rPr>
          <w:b/>
          <w:sz w:val="28"/>
        </w:rPr>
        <w:t xml:space="preserve"> </w:t>
      </w:r>
      <w:r>
        <w:rPr>
          <w:b/>
          <w:sz w:val="28"/>
        </w:rPr>
        <w:t>than</w:t>
      </w:r>
      <w:r w:rsidRPr="007C631D">
        <w:rPr>
          <w:b/>
          <w:sz w:val="28"/>
        </w:rPr>
        <w:t xml:space="preserve"> O</w:t>
      </w:r>
      <w:r>
        <w:rPr>
          <w:b/>
          <w:sz w:val="28"/>
        </w:rPr>
        <w:t>thers</w:t>
      </w:r>
      <w:r w:rsidRPr="007C631D">
        <w:rPr>
          <w:b/>
          <w:sz w:val="28"/>
        </w:rPr>
        <w:t>?</w:t>
      </w:r>
    </w:p>
    <w:p w14:paraId="181A808E" w14:textId="77777777" w:rsidR="005A3601" w:rsidRPr="007C631D" w:rsidRDefault="005A3601" w:rsidP="005A3601">
      <w:pPr>
        <w:jc w:val="center"/>
        <w:rPr>
          <w:b/>
          <w:sz w:val="28"/>
        </w:rPr>
      </w:pPr>
      <w:r w:rsidRPr="007C631D">
        <w:rPr>
          <w:b/>
          <w:sz w:val="28"/>
        </w:rPr>
        <w:t>K</w:t>
      </w:r>
      <w:r>
        <w:rPr>
          <w:b/>
          <w:sz w:val="28"/>
        </w:rPr>
        <w:t>nowledge</w:t>
      </w:r>
      <w:r w:rsidRPr="007C631D">
        <w:rPr>
          <w:b/>
          <w:sz w:val="28"/>
        </w:rPr>
        <w:t xml:space="preserve"> R</w:t>
      </w:r>
      <w:r>
        <w:rPr>
          <w:b/>
          <w:sz w:val="28"/>
        </w:rPr>
        <w:t>ecombination in</w:t>
      </w:r>
      <w:r w:rsidRPr="007C631D">
        <w:rPr>
          <w:b/>
          <w:sz w:val="28"/>
        </w:rPr>
        <w:t xml:space="preserve"> T</w:t>
      </w:r>
      <w:r>
        <w:rPr>
          <w:b/>
          <w:sz w:val="28"/>
        </w:rPr>
        <w:t>eams</w:t>
      </w:r>
      <w:r w:rsidRPr="007C631D">
        <w:rPr>
          <w:b/>
          <w:sz w:val="28"/>
        </w:rPr>
        <w:t xml:space="preserve"> </w:t>
      </w:r>
      <w:r>
        <w:rPr>
          <w:b/>
          <w:sz w:val="28"/>
        </w:rPr>
        <w:t>with</w:t>
      </w:r>
      <w:r w:rsidRPr="007C631D">
        <w:rPr>
          <w:b/>
          <w:sz w:val="28"/>
        </w:rPr>
        <w:t xml:space="preserve"> F</w:t>
      </w:r>
      <w:r>
        <w:rPr>
          <w:b/>
          <w:sz w:val="28"/>
        </w:rPr>
        <w:t>emale</w:t>
      </w:r>
      <w:r w:rsidRPr="007C631D">
        <w:rPr>
          <w:b/>
          <w:sz w:val="28"/>
        </w:rPr>
        <w:t xml:space="preserve"> </w:t>
      </w:r>
      <w:r>
        <w:rPr>
          <w:b/>
          <w:sz w:val="28"/>
        </w:rPr>
        <w:t>versus</w:t>
      </w:r>
      <w:r w:rsidRPr="007C631D">
        <w:rPr>
          <w:b/>
          <w:sz w:val="28"/>
        </w:rPr>
        <w:t xml:space="preserve"> M</w:t>
      </w:r>
      <w:r>
        <w:rPr>
          <w:b/>
          <w:sz w:val="28"/>
        </w:rPr>
        <w:t>ale</w:t>
      </w:r>
      <w:r w:rsidRPr="007C631D">
        <w:rPr>
          <w:b/>
          <w:sz w:val="28"/>
        </w:rPr>
        <w:t xml:space="preserve"> S</w:t>
      </w:r>
      <w:r>
        <w:rPr>
          <w:b/>
          <w:sz w:val="28"/>
        </w:rPr>
        <w:t>tars</w:t>
      </w:r>
    </w:p>
    <w:p w14:paraId="394D9D68" w14:textId="77777777" w:rsidR="007C631D" w:rsidRDefault="007C631D" w:rsidP="007C631D">
      <w:pPr>
        <w:pStyle w:val="Default"/>
        <w:jc w:val="center"/>
        <w:rPr>
          <w:rFonts w:ascii="Times New Roman" w:hAnsi="Times New Roman" w:cs="Times New Roman"/>
          <w:b/>
          <w:bCs/>
          <w:szCs w:val="22"/>
          <w:lang w:val="en-US"/>
        </w:rPr>
      </w:pPr>
    </w:p>
    <w:p w14:paraId="174885EA" w14:textId="77777777" w:rsidR="007C631D" w:rsidRDefault="007C631D" w:rsidP="007C631D">
      <w:pPr>
        <w:pStyle w:val="Default"/>
        <w:jc w:val="center"/>
        <w:rPr>
          <w:rFonts w:ascii="Times New Roman" w:hAnsi="Times New Roman" w:cs="Times New Roman"/>
          <w:b/>
          <w:bCs/>
          <w:szCs w:val="22"/>
          <w:lang w:val="en-US"/>
        </w:rPr>
      </w:pPr>
    </w:p>
    <w:p w14:paraId="23399F1D" w14:textId="77777777" w:rsidR="007C631D" w:rsidRDefault="007C631D" w:rsidP="007C631D">
      <w:pPr>
        <w:pStyle w:val="Default"/>
        <w:jc w:val="center"/>
        <w:rPr>
          <w:rFonts w:ascii="Times New Roman" w:hAnsi="Times New Roman" w:cs="Times New Roman"/>
          <w:b/>
          <w:bCs/>
          <w:szCs w:val="22"/>
          <w:lang w:val="en-US"/>
        </w:rPr>
      </w:pPr>
    </w:p>
    <w:p w14:paraId="4D22E6B1" w14:textId="77777777" w:rsidR="007C631D" w:rsidRDefault="007C631D" w:rsidP="007C631D">
      <w:pPr>
        <w:pStyle w:val="Default"/>
        <w:jc w:val="center"/>
        <w:rPr>
          <w:rFonts w:ascii="Times New Roman" w:hAnsi="Times New Roman" w:cs="Times New Roman"/>
          <w:b/>
          <w:bCs/>
          <w:szCs w:val="22"/>
          <w:lang w:val="en-US"/>
        </w:rPr>
      </w:pPr>
    </w:p>
    <w:p w14:paraId="3DC0B92A" w14:textId="77777777" w:rsidR="007C631D" w:rsidRDefault="007C631D" w:rsidP="007C631D">
      <w:pPr>
        <w:pStyle w:val="Default"/>
        <w:jc w:val="center"/>
        <w:rPr>
          <w:rFonts w:ascii="Times New Roman" w:hAnsi="Times New Roman" w:cs="Times New Roman"/>
          <w:b/>
          <w:bCs/>
          <w:szCs w:val="22"/>
          <w:lang w:val="en-US"/>
        </w:rPr>
      </w:pPr>
    </w:p>
    <w:p w14:paraId="1623EED7" w14:textId="77777777" w:rsidR="007C631D" w:rsidRDefault="007C631D" w:rsidP="007C631D">
      <w:pPr>
        <w:pStyle w:val="Default"/>
        <w:jc w:val="center"/>
        <w:rPr>
          <w:rFonts w:ascii="Times New Roman" w:hAnsi="Times New Roman" w:cs="Times New Roman"/>
          <w:b/>
          <w:bCs/>
          <w:szCs w:val="22"/>
          <w:lang w:val="en-US"/>
        </w:rPr>
      </w:pPr>
    </w:p>
    <w:p w14:paraId="22D1C551" w14:textId="77777777" w:rsidR="007C631D" w:rsidRDefault="007C631D" w:rsidP="007C631D">
      <w:pPr>
        <w:pStyle w:val="Default"/>
        <w:jc w:val="center"/>
        <w:rPr>
          <w:rFonts w:ascii="Times New Roman" w:hAnsi="Times New Roman" w:cs="Times New Roman"/>
          <w:b/>
          <w:bCs/>
          <w:szCs w:val="22"/>
          <w:lang w:val="en-US"/>
        </w:rPr>
      </w:pPr>
    </w:p>
    <w:p w14:paraId="55FDB97B" w14:textId="77777777" w:rsidR="007C631D" w:rsidRDefault="007C631D" w:rsidP="007C631D">
      <w:pPr>
        <w:pStyle w:val="Default"/>
        <w:jc w:val="center"/>
        <w:rPr>
          <w:rFonts w:ascii="Times New Roman" w:hAnsi="Times New Roman" w:cs="Times New Roman"/>
          <w:b/>
          <w:bCs/>
          <w:szCs w:val="22"/>
          <w:lang w:val="en-US"/>
        </w:rPr>
      </w:pPr>
    </w:p>
    <w:p w14:paraId="79C7EF04" w14:textId="77777777" w:rsidR="007C631D" w:rsidRDefault="007C631D" w:rsidP="007C631D">
      <w:pPr>
        <w:pStyle w:val="Default"/>
        <w:jc w:val="center"/>
        <w:rPr>
          <w:rFonts w:ascii="Times New Roman" w:hAnsi="Times New Roman" w:cs="Times New Roman"/>
          <w:b/>
          <w:bCs/>
          <w:szCs w:val="22"/>
          <w:lang w:val="en-US"/>
        </w:rPr>
      </w:pPr>
    </w:p>
    <w:p w14:paraId="17DE06F9" w14:textId="77777777" w:rsidR="007C631D" w:rsidRDefault="007C631D" w:rsidP="007C631D">
      <w:pPr>
        <w:pStyle w:val="Default"/>
        <w:rPr>
          <w:rFonts w:ascii="Times New Roman" w:hAnsi="Times New Roman" w:cs="Times New Roman"/>
          <w:b/>
          <w:bCs/>
          <w:szCs w:val="22"/>
          <w:lang w:val="en-US"/>
        </w:rPr>
      </w:pPr>
    </w:p>
    <w:p w14:paraId="09FBD618" w14:textId="77777777" w:rsidR="007C631D" w:rsidRDefault="007C631D" w:rsidP="007C631D">
      <w:pPr>
        <w:pStyle w:val="Default"/>
        <w:jc w:val="center"/>
        <w:rPr>
          <w:rFonts w:ascii="Times New Roman" w:hAnsi="Times New Roman" w:cs="Times New Roman"/>
          <w:b/>
          <w:bCs/>
          <w:szCs w:val="22"/>
          <w:lang w:val="en-US"/>
        </w:rPr>
      </w:pPr>
    </w:p>
    <w:p w14:paraId="4BAFF2ED" w14:textId="77777777" w:rsidR="007C631D" w:rsidRDefault="007C631D" w:rsidP="007C631D">
      <w:pPr>
        <w:pStyle w:val="Default"/>
        <w:jc w:val="center"/>
        <w:rPr>
          <w:rFonts w:ascii="Times New Roman" w:hAnsi="Times New Roman" w:cs="Times New Roman"/>
          <w:b/>
          <w:bCs/>
          <w:szCs w:val="22"/>
          <w:lang w:val="en-US"/>
        </w:rPr>
      </w:pPr>
    </w:p>
    <w:p w14:paraId="3C5393EF" w14:textId="77777777" w:rsidR="007C631D" w:rsidRDefault="007C631D" w:rsidP="007C631D">
      <w:pPr>
        <w:pStyle w:val="Default"/>
        <w:jc w:val="center"/>
        <w:rPr>
          <w:rFonts w:ascii="Times New Roman" w:hAnsi="Times New Roman" w:cs="Times New Roman"/>
          <w:b/>
          <w:bCs/>
          <w:szCs w:val="22"/>
          <w:lang w:val="en-US"/>
        </w:rPr>
      </w:pPr>
    </w:p>
    <w:p w14:paraId="725DE220" w14:textId="77777777" w:rsidR="007C631D" w:rsidRDefault="007C631D" w:rsidP="007C631D">
      <w:pPr>
        <w:pStyle w:val="Default"/>
        <w:jc w:val="center"/>
        <w:rPr>
          <w:rFonts w:ascii="Times New Roman" w:hAnsi="Times New Roman" w:cs="Times New Roman"/>
          <w:b/>
          <w:bCs/>
          <w:szCs w:val="22"/>
          <w:lang w:val="en-US"/>
        </w:rPr>
      </w:pPr>
    </w:p>
    <w:p w14:paraId="4BD85BD0" w14:textId="40377385" w:rsidR="007C631D" w:rsidRPr="007C631D" w:rsidRDefault="007C631D" w:rsidP="007C631D">
      <w:pPr>
        <w:pStyle w:val="Default"/>
        <w:jc w:val="center"/>
        <w:rPr>
          <w:rFonts w:ascii="Times New Roman" w:hAnsi="Times New Roman" w:cs="Times New Roman"/>
          <w:szCs w:val="22"/>
          <w:lang w:val="en-US"/>
        </w:rPr>
      </w:pPr>
      <w:r w:rsidRPr="007C631D">
        <w:rPr>
          <w:rFonts w:ascii="Times New Roman" w:hAnsi="Times New Roman" w:cs="Times New Roman"/>
          <w:b/>
          <w:bCs/>
          <w:szCs w:val="22"/>
          <w:lang w:val="en-US"/>
        </w:rPr>
        <w:t>Mona Reber</w:t>
      </w:r>
      <w:r w:rsidR="00F559E0">
        <w:rPr>
          <w:rFonts w:ascii="Times New Roman" w:hAnsi="Times New Roman" w:cs="Times New Roman"/>
          <w:b/>
          <w:bCs/>
          <w:szCs w:val="22"/>
          <w:lang w:val="en-US"/>
        </w:rPr>
        <w:t>*</w:t>
      </w:r>
    </w:p>
    <w:p w14:paraId="304560D3" w14:textId="6F832B85" w:rsidR="007C631D" w:rsidRPr="007C631D" w:rsidRDefault="007C631D" w:rsidP="007C631D">
      <w:pPr>
        <w:pStyle w:val="Default"/>
        <w:jc w:val="center"/>
        <w:rPr>
          <w:rFonts w:ascii="Times New Roman" w:hAnsi="Times New Roman" w:cs="Times New Roman"/>
          <w:color w:val="auto"/>
          <w:szCs w:val="22"/>
          <w:lang w:val="en-US"/>
        </w:rPr>
      </w:pPr>
      <w:r w:rsidRPr="007C631D">
        <w:rPr>
          <w:rFonts w:ascii="Times New Roman" w:hAnsi="Times New Roman" w:cs="Times New Roman"/>
          <w:color w:val="auto"/>
          <w:szCs w:val="22"/>
          <w:lang w:val="en-US"/>
        </w:rPr>
        <w:t>University of Mannheim</w:t>
      </w:r>
    </w:p>
    <w:p w14:paraId="5CAD2B0A" w14:textId="3C0A7575" w:rsidR="007C631D" w:rsidRPr="009548EA" w:rsidRDefault="007C631D" w:rsidP="007C631D">
      <w:pPr>
        <w:pStyle w:val="Default"/>
        <w:jc w:val="center"/>
        <w:rPr>
          <w:rFonts w:ascii="Times New Roman" w:hAnsi="Times New Roman" w:cs="Times New Roman"/>
          <w:color w:val="auto"/>
          <w:szCs w:val="22"/>
          <w:lang w:val="en-US"/>
        </w:rPr>
      </w:pPr>
      <w:r w:rsidRPr="009548EA">
        <w:rPr>
          <w:rFonts w:ascii="Times New Roman" w:hAnsi="Times New Roman" w:cs="Times New Roman"/>
          <w:color w:val="auto"/>
          <w:szCs w:val="22"/>
          <w:lang w:val="en-US"/>
        </w:rPr>
        <w:t>mona.reber@uni-mannheim.de</w:t>
      </w:r>
    </w:p>
    <w:p w14:paraId="7A58FC24" w14:textId="16B8E7A1" w:rsidR="007C631D" w:rsidRPr="009548EA" w:rsidRDefault="007C631D" w:rsidP="007C631D">
      <w:pPr>
        <w:pStyle w:val="Default"/>
        <w:jc w:val="center"/>
        <w:rPr>
          <w:rFonts w:ascii="Times New Roman" w:hAnsi="Times New Roman" w:cs="Times New Roman"/>
          <w:color w:val="auto"/>
          <w:sz w:val="28"/>
          <w:lang w:val="en-US"/>
        </w:rPr>
      </w:pPr>
    </w:p>
    <w:p w14:paraId="4E9AC4A8" w14:textId="77777777" w:rsidR="007C631D" w:rsidRPr="009548EA" w:rsidRDefault="007C631D" w:rsidP="007C631D">
      <w:pPr>
        <w:pStyle w:val="Default"/>
        <w:jc w:val="center"/>
        <w:rPr>
          <w:rFonts w:ascii="Times New Roman" w:hAnsi="Times New Roman" w:cs="Times New Roman"/>
          <w:color w:val="auto"/>
          <w:sz w:val="28"/>
          <w:lang w:val="en-US"/>
        </w:rPr>
      </w:pPr>
    </w:p>
    <w:p w14:paraId="6FE23D98" w14:textId="2A578F75" w:rsidR="007C631D" w:rsidRPr="00545F66" w:rsidRDefault="007C631D" w:rsidP="007C631D">
      <w:pPr>
        <w:pStyle w:val="Default"/>
        <w:jc w:val="center"/>
        <w:rPr>
          <w:rFonts w:ascii="Times New Roman" w:hAnsi="Times New Roman" w:cs="Times New Roman"/>
          <w:color w:val="auto"/>
          <w:szCs w:val="22"/>
          <w:lang w:val="en-US"/>
        </w:rPr>
      </w:pPr>
      <w:r w:rsidRPr="00545F66">
        <w:rPr>
          <w:rFonts w:ascii="Times New Roman" w:hAnsi="Times New Roman" w:cs="Times New Roman"/>
          <w:b/>
          <w:bCs/>
          <w:color w:val="auto"/>
          <w:szCs w:val="22"/>
          <w:lang w:val="en-US"/>
        </w:rPr>
        <w:t>Leo Schmallenbach</w:t>
      </w:r>
      <w:r w:rsidR="00F559E0">
        <w:rPr>
          <w:rFonts w:ascii="Times New Roman" w:hAnsi="Times New Roman" w:cs="Times New Roman"/>
          <w:b/>
          <w:bCs/>
          <w:color w:val="auto"/>
          <w:szCs w:val="22"/>
          <w:lang w:val="en-US"/>
        </w:rPr>
        <w:t>*</w:t>
      </w:r>
    </w:p>
    <w:p w14:paraId="259F7B9B" w14:textId="3D5B9608" w:rsidR="007C631D" w:rsidRPr="007C631D" w:rsidRDefault="007C631D" w:rsidP="007C631D">
      <w:pPr>
        <w:pStyle w:val="Default"/>
        <w:jc w:val="center"/>
        <w:rPr>
          <w:rFonts w:ascii="Times New Roman" w:hAnsi="Times New Roman" w:cs="Times New Roman"/>
          <w:color w:val="auto"/>
          <w:szCs w:val="22"/>
          <w:lang w:val="en-US"/>
        </w:rPr>
      </w:pPr>
      <w:r w:rsidRPr="007C631D">
        <w:rPr>
          <w:rFonts w:ascii="Times New Roman" w:hAnsi="Times New Roman" w:cs="Times New Roman"/>
          <w:color w:val="auto"/>
          <w:szCs w:val="22"/>
          <w:lang w:val="en-US"/>
        </w:rPr>
        <w:t>University of Mannheim</w:t>
      </w:r>
    </w:p>
    <w:p w14:paraId="2268E2F4" w14:textId="660652D6" w:rsidR="007C631D" w:rsidRPr="007C631D" w:rsidRDefault="007C631D" w:rsidP="007C631D">
      <w:pPr>
        <w:pStyle w:val="Default"/>
        <w:jc w:val="center"/>
        <w:rPr>
          <w:rFonts w:ascii="Times New Roman" w:hAnsi="Times New Roman" w:cs="Times New Roman"/>
          <w:color w:val="auto"/>
          <w:szCs w:val="22"/>
          <w:lang w:val="en-US"/>
        </w:rPr>
      </w:pPr>
      <w:r w:rsidRPr="007C631D">
        <w:rPr>
          <w:rFonts w:ascii="Times New Roman" w:hAnsi="Times New Roman" w:cs="Times New Roman"/>
          <w:color w:val="auto"/>
          <w:szCs w:val="22"/>
          <w:lang w:val="en-US"/>
        </w:rPr>
        <w:t>leo.schmallenbach@uni-mannheim.de</w:t>
      </w:r>
    </w:p>
    <w:p w14:paraId="2CD76B61" w14:textId="22775193" w:rsidR="007C631D" w:rsidRDefault="007C631D" w:rsidP="007C631D">
      <w:pPr>
        <w:pStyle w:val="Default"/>
        <w:jc w:val="center"/>
        <w:rPr>
          <w:rFonts w:ascii="Times New Roman" w:hAnsi="Times New Roman" w:cs="Times New Roman"/>
          <w:color w:val="auto"/>
          <w:sz w:val="28"/>
          <w:lang w:val="en-US"/>
        </w:rPr>
      </w:pPr>
    </w:p>
    <w:p w14:paraId="5681477F" w14:textId="77777777" w:rsidR="007C631D" w:rsidRPr="007C631D" w:rsidRDefault="007C631D" w:rsidP="007C631D">
      <w:pPr>
        <w:pStyle w:val="Default"/>
        <w:jc w:val="center"/>
        <w:rPr>
          <w:rFonts w:ascii="Times New Roman" w:hAnsi="Times New Roman" w:cs="Times New Roman"/>
          <w:color w:val="auto"/>
          <w:sz w:val="28"/>
          <w:lang w:val="en-US"/>
        </w:rPr>
      </w:pPr>
    </w:p>
    <w:p w14:paraId="187ACF14" w14:textId="7C2742AF" w:rsidR="007C631D" w:rsidRPr="007C631D" w:rsidRDefault="007C631D" w:rsidP="007C631D">
      <w:pPr>
        <w:pStyle w:val="Default"/>
        <w:jc w:val="center"/>
        <w:rPr>
          <w:rFonts w:ascii="Times New Roman" w:hAnsi="Times New Roman" w:cs="Times New Roman"/>
          <w:color w:val="auto"/>
          <w:szCs w:val="22"/>
          <w:lang w:val="en-US"/>
        </w:rPr>
      </w:pPr>
      <w:r w:rsidRPr="007C631D">
        <w:rPr>
          <w:rFonts w:ascii="Times New Roman" w:hAnsi="Times New Roman" w:cs="Times New Roman"/>
          <w:b/>
          <w:bCs/>
          <w:color w:val="auto"/>
          <w:szCs w:val="22"/>
          <w:lang w:val="en-US"/>
        </w:rPr>
        <w:t>Himani Singh</w:t>
      </w:r>
      <w:r w:rsidR="00F559E0">
        <w:rPr>
          <w:rFonts w:ascii="Times New Roman" w:hAnsi="Times New Roman" w:cs="Times New Roman"/>
          <w:b/>
          <w:bCs/>
          <w:color w:val="auto"/>
          <w:szCs w:val="22"/>
          <w:lang w:val="en-US"/>
        </w:rPr>
        <w:t>*</w:t>
      </w:r>
    </w:p>
    <w:p w14:paraId="1AFB1F81" w14:textId="0532092F" w:rsidR="007C631D" w:rsidRPr="007C631D" w:rsidRDefault="007C631D" w:rsidP="007C631D">
      <w:pPr>
        <w:pStyle w:val="Default"/>
        <w:jc w:val="center"/>
        <w:rPr>
          <w:rFonts w:ascii="Times New Roman" w:hAnsi="Times New Roman" w:cs="Times New Roman"/>
          <w:color w:val="auto"/>
          <w:szCs w:val="22"/>
          <w:lang w:val="en-US"/>
        </w:rPr>
      </w:pPr>
      <w:r w:rsidRPr="007C631D">
        <w:rPr>
          <w:rFonts w:ascii="Times New Roman" w:hAnsi="Times New Roman" w:cs="Times New Roman"/>
          <w:color w:val="auto"/>
          <w:szCs w:val="22"/>
          <w:lang w:val="en-US"/>
        </w:rPr>
        <w:t>University of Mannheim</w:t>
      </w:r>
    </w:p>
    <w:p w14:paraId="407CB742" w14:textId="201C3155" w:rsidR="007C631D" w:rsidRPr="007C631D" w:rsidRDefault="007C631D" w:rsidP="007C631D">
      <w:pPr>
        <w:pStyle w:val="Default"/>
        <w:jc w:val="center"/>
        <w:rPr>
          <w:rFonts w:ascii="Times New Roman" w:hAnsi="Times New Roman" w:cs="Times New Roman"/>
          <w:color w:val="auto"/>
          <w:szCs w:val="22"/>
          <w:lang w:val="en-US"/>
        </w:rPr>
      </w:pPr>
      <w:r w:rsidRPr="007C631D">
        <w:rPr>
          <w:rFonts w:ascii="Times New Roman" w:hAnsi="Times New Roman" w:cs="Times New Roman"/>
          <w:color w:val="auto"/>
          <w:szCs w:val="22"/>
          <w:lang w:val="en-US"/>
        </w:rPr>
        <w:t>himani.singh@uni-mannheim.de</w:t>
      </w:r>
    </w:p>
    <w:p w14:paraId="0B8F2796" w14:textId="77777777" w:rsidR="007C631D" w:rsidRPr="007C631D" w:rsidRDefault="007C631D" w:rsidP="007C631D">
      <w:pPr>
        <w:pStyle w:val="Default"/>
        <w:rPr>
          <w:rFonts w:cstheme="minorBidi"/>
          <w:color w:val="auto"/>
          <w:lang w:val="en-US"/>
        </w:rPr>
      </w:pPr>
    </w:p>
    <w:p w14:paraId="7FCA577D" w14:textId="77777777" w:rsidR="0089731A" w:rsidRDefault="0089731A" w:rsidP="005A2721"/>
    <w:p w14:paraId="1A2F8629" w14:textId="01548622" w:rsidR="005A3601" w:rsidRPr="00FB0D9F" w:rsidRDefault="00710609" w:rsidP="005A3601">
      <w:pPr>
        <w:jc w:val="center"/>
        <w:rPr>
          <w:b/>
        </w:rPr>
      </w:pPr>
      <w:bookmarkStart w:id="0" w:name="_GoBack"/>
      <w:r>
        <w:rPr>
          <w:b/>
        </w:rPr>
        <w:lastRenderedPageBreak/>
        <w:t>D</w:t>
      </w:r>
      <w:r w:rsidR="005A3601" w:rsidRPr="00FB0D9F">
        <w:rPr>
          <w:b/>
        </w:rPr>
        <w:t>O SOME STARS SHINE BRIGHTER THAN OTHERS?</w:t>
      </w:r>
    </w:p>
    <w:p w14:paraId="2C3A8A7E" w14:textId="77777777" w:rsidR="005A3601" w:rsidRPr="00FB0D9F" w:rsidRDefault="005A3601" w:rsidP="005A3601">
      <w:pPr>
        <w:jc w:val="center"/>
        <w:rPr>
          <w:b/>
        </w:rPr>
      </w:pPr>
      <w:r>
        <w:rPr>
          <w:b/>
        </w:rPr>
        <w:t>KNOWLEDGE RECOMBINATION IN TEAMS WITH FEMALE VERSUS MALE STARS</w:t>
      </w:r>
    </w:p>
    <w:bookmarkEnd w:id="0"/>
    <w:p w14:paraId="3F1A7A52" w14:textId="77777777" w:rsidR="0039527A" w:rsidRPr="00FB0D9F" w:rsidRDefault="0039527A" w:rsidP="005A2721"/>
    <w:p w14:paraId="75D379F9" w14:textId="77777777" w:rsidR="0039527A" w:rsidRPr="001B4B83" w:rsidRDefault="0039527A" w:rsidP="00292634">
      <w:pPr>
        <w:pStyle w:val="Heading1"/>
      </w:pPr>
      <w:r w:rsidRPr="001B4B83">
        <w:t>Abstract</w:t>
      </w:r>
    </w:p>
    <w:p w14:paraId="4CFB2BA9" w14:textId="6EEC8286" w:rsidR="0039527A" w:rsidRPr="00FB0D9F" w:rsidRDefault="0039527A" w:rsidP="005A3601">
      <w:pPr>
        <w:ind w:firstLine="0"/>
      </w:pPr>
      <w:r w:rsidRPr="00FB0D9F">
        <w:t xml:space="preserve">This paper </w:t>
      </w:r>
      <w:r w:rsidR="00B5480F">
        <w:t>focuses on</w:t>
      </w:r>
      <w:r w:rsidRPr="00FB0D9F">
        <w:t xml:space="preserve"> female stars, an underrepresented and largely unexplored group of star knowledge workers</w:t>
      </w:r>
      <w:r>
        <w:t>, and the</w:t>
      </w:r>
      <w:r w:rsidR="00551E27">
        <w:t>ir</w:t>
      </w:r>
      <w:r>
        <w:t xml:space="preserve"> role in team knowledge recombination.</w:t>
      </w:r>
      <w:r w:rsidRPr="00FB0D9F">
        <w:t xml:space="preserve"> </w:t>
      </w:r>
      <w:r w:rsidR="007B5960">
        <w:t>We ar</w:t>
      </w:r>
      <w:r w:rsidR="00251713">
        <w:t>gu</w:t>
      </w:r>
      <w:r w:rsidR="007B5960">
        <w:t>e</w:t>
      </w:r>
      <w:r w:rsidR="007B5960" w:rsidRPr="00FB0D9F">
        <w:t xml:space="preserve"> </w:t>
      </w:r>
      <w:r w:rsidRPr="00FB0D9F">
        <w:t xml:space="preserve">that gender differences between male and female stars </w:t>
      </w:r>
      <w:r>
        <w:t>can produce differential implications for the availability and integration of knowledge in teams</w:t>
      </w:r>
      <w:r w:rsidR="000627F8">
        <w:t>.</w:t>
      </w:r>
      <w:r w:rsidR="00A23A76">
        <w:t xml:space="preserve"> </w:t>
      </w:r>
      <w:r w:rsidR="000627F8">
        <w:t>We</w:t>
      </w:r>
      <w:r w:rsidRPr="00FB0D9F">
        <w:t xml:space="preserve"> hypothesize that the presence of a female star foster</w:t>
      </w:r>
      <w:r w:rsidR="007B5960">
        <w:t>s the breadth of</w:t>
      </w:r>
      <w:r>
        <w:t xml:space="preserve"> knowledge recombination in</w:t>
      </w:r>
      <w:r w:rsidRPr="00FB0D9F">
        <w:t xml:space="preserve"> team</w:t>
      </w:r>
      <w:r>
        <w:t>s</w:t>
      </w:r>
      <w:r w:rsidR="000627F8">
        <w:t xml:space="preserve"> more than the presence of a male star</w:t>
      </w:r>
      <w:r w:rsidRPr="00FB0D9F">
        <w:t>.</w:t>
      </w:r>
      <w:r>
        <w:t xml:space="preserve"> </w:t>
      </w:r>
      <w:r w:rsidRPr="00FB0D9F">
        <w:t xml:space="preserve">Empirically, we rely on a sample of star inventors, representing knowledge workers, and their patents filed at the US patent office in the period of 1990-2010. </w:t>
      </w:r>
      <w:r w:rsidR="007B5960">
        <w:t>W</w:t>
      </w:r>
      <w:r w:rsidRPr="00FB0D9F">
        <w:t xml:space="preserve">e </w:t>
      </w:r>
      <w:r>
        <w:t>match teams</w:t>
      </w:r>
      <w:r w:rsidRPr="00FB0D9F">
        <w:t xml:space="preserve"> </w:t>
      </w:r>
      <w:r>
        <w:t>with</w:t>
      </w:r>
      <w:r w:rsidRPr="00FB0D9F">
        <w:t xml:space="preserve"> a female star to </w:t>
      </w:r>
      <w:r>
        <w:t xml:space="preserve">similar teams with a </w:t>
      </w:r>
      <w:r w:rsidRPr="00FB0D9F">
        <w:t>male star</w:t>
      </w:r>
      <w:r>
        <w:t xml:space="preserve"> and compare</w:t>
      </w:r>
      <w:r w:rsidRPr="00FB0D9F">
        <w:t xml:space="preserve"> </w:t>
      </w:r>
      <w:r>
        <w:t xml:space="preserve">how broadly the teams recombine </w:t>
      </w:r>
      <w:r w:rsidRPr="00FB0D9F">
        <w:t xml:space="preserve">knowledge </w:t>
      </w:r>
      <w:r>
        <w:t>across</w:t>
      </w:r>
      <w:r w:rsidRPr="00FB0D9F">
        <w:t xml:space="preserve"> technological </w:t>
      </w:r>
      <w:r>
        <w:t>boundaries in the</w:t>
      </w:r>
      <w:r w:rsidR="001D680E">
        <w:t>ir</w:t>
      </w:r>
      <w:r>
        <w:t xml:space="preserve"> patented inventions. </w:t>
      </w:r>
      <w:r w:rsidR="000A4434">
        <w:t>W</w:t>
      </w:r>
      <w:r w:rsidRPr="00FB0D9F">
        <w:t xml:space="preserve">e find that teams with </w:t>
      </w:r>
      <w:r w:rsidR="007B5960">
        <w:t xml:space="preserve">a </w:t>
      </w:r>
      <w:r w:rsidRPr="00FB0D9F">
        <w:t>female star combine</w:t>
      </w:r>
      <w:r w:rsidR="007A279C">
        <w:t xml:space="preserve"> knowledge more broadly. </w:t>
      </w:r>
      <w:r w:rsidRPr="005A3DA8">
        <w:t xml:space="preserve">Our findings </w:t>
      </w:r>
      <w:r w:rsidR="003D056C" w:rsidRPr="005A3DA8">
        <w:t>emphasize the special role of female stars in teams and</w:t>
      </w:r>
      <w:r w:rsidR="006C45CA" w:rsidRPr="005A3DA8">
        <w:t xml:space="preserve"> </w:t>
      </w:r>
      <w:r w:rsidRPr="005A3DA8">
        <w:t xml:space="preserve">may </w:t>
      </w:r>
      <w:r w:rsidR="003D056C" w:rsidRPr="005A3DA8">
        <w:t xml:space="preserve">thus </w:t>
      </w:r>
      <w:r w:rsidRPr="005A3DA8">
        <w:t>help leverage the untapped potential of women in many knowledge-based and creative industries.</w:t>
      </w:r>
    </w:p>
    <w:p w14:paraId="5AC6C2F1" w14:textId="16BE60B8" w:rsidR="0039527A" w:rsidRPr="00720655" w:rsidRDefault="0039527A" w:rsidP="005A3601">
      <w:pPr>
        <w:ind w:firstLine="0"/>
        <w:rPr>
          <w:b/>
          <w:caps/>
        </w:rPr>
      </w:pPr>
      <w:r w:rsidRPr="00A00FE9">
        <w:rPr>
          <w:b/>
        </w:rPr>
        <w:t>Keywords</w:t>
      </w:r>
      <w:r w:rsidRPr="00720655">
        <w:t xml:space="preserve">: stars, </w:t>
      </w:r>
      <w:r w:rsidR="00551E27">
        <w:t>teams,</w:t>
      </w:r>
      <w:r w:rsidR="00551E27" w:rsidRPr="00720655">
        <w:t xml:space="preserve"> </w:t>
      </w:r>
      <w:r w:rsidRPr="00720655">
        <w:t xml:space="preserve">gender differences, </w:t>
      </w:r>
      <w:r>
        <w:t>knowledge recombination,</w:t>
      </w:r>
      <w:r w:rsidR="00B314F0">
        <w:t xml:space="preserve"> creativity</w:t>
      </w:r>
    </w:p>
    <w:p w14:paraId="035BE98C" w14:textId="77777777" w:rsidR="0039527A" w:rsidRDefault="0039527A" w:rsidP="005A2721">
      <w:r>
        <w:br w:type="page"/>
      </w:r>
    </w:p>
    <w:p w14:paraId="781B3FA0" w14:textId="77777777" w:rsidR="0039527A" w:rsidRPr="0031029A" w:rsidRDefault="0039527A" w:rsidP="00292634">
      <w:pPr>
        <w:pStyle w:val="Heading1"/>
      </w:pPr>
      <w:r w:rsidRPr="0031029A">
        <w:lastRenderedPageBreak/>
        <w:t>Introduction</w:t>
      </w:r>
    </w:p>
    <w:p w14:paraId="4864DDED" w14:textId="28856DA0" w:rsidR="0039527A" w:rsidRDefault="0039527A" w:rsidP="005A2721">
      <w:r>
        <w:t>Substantial scholarly i</w:t>
      </w:r>
      <w:r w:rsidRPr="00BB17B5">
        <w:rPr>
          <w:iCs/>
        </w:rPr>
        <w:t>nterest</w:t>
      </w:r>
      <w:r>
        <w:rPr>
          <w:iCs/>
        </w:rPr>
        <w:t xml:space="preserve"> has been devoted to</w:t>
      </w:r>
      <w:r w:rsidRPr="00BB17B5">
        <w:rPr>
          <w:iCs/>
        </w:rPr>
        <w:t xml:space="preserve"> </w:t>
      </w:r>
      <w:r w:rsidRPr="00BB17B5">
        <w:t>star knowledge workers, who</w:t>
      </w:r>
      <w:r>
        <w:t xml:space="preserve"> </w:t>
      </w:r>
      <w:r w:rsidR="000B05A5" w:rsidRPr="00BB17B5">
        <w:t>disproportiona</w:t>
      </w:r>
      <w:r w:rsidR="000B05A5">
        <w:t>tely</w:t>
      </w:r>
      <w:r w:rsidR="000B05A5" w:rsidRPr="00BB17B5">
        <w:t xml:space="preserve"> </w:t>
      </w:r>
      <w:r w:rsidRPr="00BB17B5">
        <w:t xml:space="preserve">exceed their peers in terms of </w:t>
      </w:r>
      <w:r>
        <w:t xml:space="preserve">their contribution to organizational knowledge creation </w:t>
      </w:r>
      <w:r w:rsidRPr="00BB17B5">
        <w:t xml:space="preserve">(e.g., </w:t>
      </w:r>
      <w:r w:rsidRPr="00FC3F82">
        <w:fldChar w:fldCharType="begin" w:fldLock="1"/>
      </w:r>
      <w:r w:rsidR="00814EAA">
        <w:instrText>ADDIN CSL_CITATION {"citationItems":[{"id":"ITEM-1","itemData":{"DOI":"10.1073/pnas.93.23.12709","ISSN":"00278424","abstract":"The most productive ('star') bioscientists had intellectual human capital of extraordinary scientific and pecuniary value for some 10-15 years after Cohen and Boyer's 1973 founding discovery for biotechnology [Cohen, S., Chang, A., Boyer, H. and Helling, R. (1973) Proc. Natl. Acad. Sci. USA 70, 3240-3244]. This extraordinary value was due to the union of still scarce knowledge of the new research techniques and genius and vision to apply them in novel, valuable ways. As in other sciences, star bioscientists were very protective of their techniques, ideas, and discoveries in the early years of the revolution, tending to collaborate more within their own institution, which slowed diffusion to other scientists. Close, bench-level working ties between stars and firm scientists were needed to accomplish commercialization of the breakthroughs. Where and when star scientists were actively producing publications is a key predictor of where and when commercial firms began to use biotechnology. The extent of collaboration by a firm's scientists with stars is a powerful predictor of its success: for an average firm, 5 articles coauthored by an academic star and the firm's scientists result in about 5 more products in development, 3.5 more products on the market, and 860 more employees. Articles by stars collaborating with or employed by firms have significantly higher rates of citation than other articles by the same or other stars. The U.S. scientific and economic infrastructure has been particularly effective in fostering and commercializing the bioscientific revolution. These results let us see the process by which scientific breakthroughs become economic growth and consider implications for policy.","author":[{"dropping-particle":"","family":"Zucker","given":"Lynne G.","non-dropping-particle":"","parse-names":false,"suffix":""},{"dropping-particle":"","family":"Darby","given":"Michael R.","non-dropping-particle":"","parse-names":false,"suffix":""}],"container-title":"Proceedings of the National Academy of Sciences of the United States of America","id":"ITEM-1","issue":"23","issued":{"date-parts":[["1996","11","12"]]},"page":"12709-12716","publisher":"National Academy of Sciences","title":"Star scientists and institutional transformation: Patterns of invention and innovation in the formation of the biotechnology industry","type":"article-journal","volume":"93"},"uris":["http://www.mendeley.com/documents/?uuid=7c33ce8b-92c7-3df2-9e53-c860880f14f5"]}],"mendeley":{"formattedCitation":"(Zucker &amp; Darby, 1996)","manualFormatting":"Zucker &amp; Darby, 1996)","plainTextFormattedCitation":"(Zucker &amp; Darby, 1996)","previouslyFormattedCitation":"(Zucker &amp; Darby, 1996)"},"properties":{"noteIndex":0},"schema":"https://github.com/citation-style-language/schema/raw/master/csl-citation.json"}</w:instrText>
      </w:r>
      <w:r w:rsidRPr="00FC3F82">
        <w:fldChar w:fldCharType="separate"/>
      </w:r>
      <w:r w:rsidRPr="00BB17B5">
        <w:rPr>
          <w:noProof/>
        </w:rPr>
        <w:t>Zucker &amp; Darby, 1996)</w:t>
      </w:r>
      <w:r w:rsidRPr="00FC3F82">
        <w:fldChar w:fldCharType="end"/>
      </w:r>
      <w:r w:rsidR="00322AEC">
        <w:t>. Stars profit</w:t>
      </w:r>
      <w:r w:rsidR="00E74618">
        <w:t xml:space="preserve"> knowledge creation</w:t>
      </w:r>
      <w:r w:rsidR="00B441DB">
        <w:t xml:space="preserve"> in organizations</w:t>
      </w:r>
      <w:r w:rsidR="00E74618">
        <w:t xml:space="preserve"> </w:t>
      </w:r>
      <w:r w:rsidR="002015B3">
        <w:t xml:space="preserve">by virtue </w:t>
      </w:r>
      <w:r w:rsidR="001904F1">
        <w:t>of th</w:t>
      </w:r>
      <w:r>
        <w:t>eir</w:t>
      </w:r>
      <w:r w:rsidRPr="00BB17B5">
        <w:t xml:space="preserve"> </w:t>
      </w:r>
      <w:r w:rsidRPr="00524862">
        <w:t xml:space="preserve">unique individual contributions, knowledge spillovers </w:t>
      </w:r>
      <w:r w:rsidRPr="009548EA">
        <w:fldChar w:fldCharType="begin" w:fldLock="1"/>
      </w:r>
      <w:r w:rsidR="00814EAA">
        <w:instrText>ADDIN CSL_CITATION {"citationItems":[{"id":"ITEM-1","itemData":{"DOI":"10.1162/qjec.2010.125.2.549","ISSN":"0033-5533","author":[{"dropping-particle":"","family":"Azoulay","given":"Pierre","non-dropping-particle":"","parse-names":false,"suffix":""},{"dropping-particle":"","family":"Zivin","given":"Joshua S. Graff","non-dropping-particle":"","parse-names":false,"suffix":""},{"dropping-particle":"","family":"Wang","given":"Jialan","non-dropping-particle":"","parse-names":false,"suffix":""}],"container-title":"Quarterly Journal of Economics","id":"ITEM-1","issue":"2","issued":{"date-parts":[["2010","5"]]},"page":"549-589","title":"Superstar extinction","type":"article-journal","volume":"125"},"prefix":"e.g., ","uris":["http://www.mendeley.com/documents/?uuid=bb66a222-4aad-38f9-830b-9946f9c7b8dd"]}],"mendeley":{"formattedCitation":"(e.g., Azoulay, Zivin, &amp; Wang, 2010)","plainTextFormattedCitation":"(e.g., Azoulay, Zivin, &amp; Wang, 2010)","previouslyFormattedCitation":"(e.g., Azoulay, Zivin, &amp; Wang, 2010)"},"properties":{"noteIndex":0},"schema":"https://github.com/citation-style-language/schema/raw/master/csl-citation.json"}</w:instrText>
      </w:r>
      <w:r w:rsidRPr="009548EA">
        <w:fldChar w:fldCharType="separate"/>
      </w:r>
      <w:r w:rsidR="00814EAA" w:rsidRPr="00814EAA">
        <w:rPr>
          <w:noProof/>
        </w:rPr>
        <w:t>(e.g., Azoulay, Zivin, &amp; Wang, 2010)</w:t>
      </w:r>
      <w:r w:rsidRPr="009548EA">
        <w:fldChar w:fldCharType="end"/>
      </w:r>
      <w:r w:rsidR="009A6A5C">
        <w:t>, and superior access to resources</w:t>
      </w:r>
      <w:r w:rsidRPr="009A6A5C">
        <w:t xml:space="preserve"> </w:t>
      </w:r>
      <w:r w:rsidRPr="009548EA">
        <w:fldChar w:fldCharType="begin" w:fldLock="1"/>
      </w:r>
      <w:r w:rsidR="00814EAA">
        <w:instrText>ADDIN CSL_CITATION {"citationItems":[{"id":"ITEM-1","itemData":{"DOI":"10.1287/mnsc.1070.0809","ISSN":"00251909","abstract":"This paper examines the portability of star security analysts' performance. Star analysts who switched employers experienced an immediate decline in performance that persisted for at least five years. This decline was most pronounced among star analysts who moved to firms with lesser capabilities and those who moved solo, without other team members. Star analysts who moved between two firms with equivalent capabilities also exhibited a drop in performance, but only for two years. Those who switched to firms with better capabilities and those who moved with other team members exhibited no significant decline in short-term or long-term performance. These findings suggest that firm-specific skills and firms' capabilities both play important roles in star analysts' performance. In addition, we find that firms that hire star analysts from competitors with better capabilities suffered more extreme negative stock-market reactions than those that hire from comparable or lesser firms. These findings suggest that hiring stars may be perceived as value destroying and may not improve a firm's competitive advantage. © 2008 INFORMS.","author":[{"dropping-particle":"","family":"Groysberg","given":"Boris","non-dropping-particle":"","parse-names":false,"suffix":""},{"dropping-particle":"","family":"Lee","given":"Linda Eling","non-dropping-particle":"","parse-names":false,"suffix":""},{"dropping-particle":"","family":"Nanda","given":"Ashish","non-dropping-particle":"","parse-names":false,"suffix":""}],"container-title":"Management Science","id":"ITEM-1","issue":"7","issued":{"date-parts":[["2008","7"]]},"page":"1213-1230","title":"Can they take it with them? The portability of star knowledge workers' performance","type":"article-journal","volume":"54"},"prefix":"e.g., ","uris":["http://www.mendeley.com/documents/?uuid=af7a4cff-d0eb-3c1e-9c36-fc1687213462"]}],"mendeley":{"formattedCitation":"(e.g., Groysberg, Lee, &amp; Nanda, 2008)","plainTextFormattedCitation":"(e.g., Groysberg, Lee, &amp; Nanda, 2008)","previouslyFormattedCitation":"(e.g., Groysberg, Lee, &amp; Nanda, 2008)"},"properties":{"noteIndex":0},"schema":"https://github.com/citation-style-language/schema/raw/master/csl-citation.json"}</w:instrText>
      </w:r>
      <w:r w:rsidRPr="009548EA">
        <w:fldChar w:fldCharType="separate"/>
      </w:r>
      <w:r w:rsidR="00814EAA" w:rsidRPr="00814EAA">
        <w:rPr>
          <w:noProof/>
        </w:rPr>
        <w:t>(e.g., Groysberg, Lee, &amp; Nanda, 2008)</w:t>
      </w:r>
      <w:r w:rsidRPr="009548EA">
        <w:fldChar w:fldCharType="end"/>
      </w:r>
      <w:r w:rsidRPr="00524862">
        <w:t xml:space="preserve">. </w:t>
      </w:r>
      <w:r w:rsidR="000A4434" w:rsidRPr="00524862">
        <w:t>The crea</w:t>
      </w:r>
      <w:r w:rsidR="000A4434">
        <w:t xml:space="preserve">tion of </w:t>
      </w:r>
      <w:r w:rsidR="007123A3">
        <w:t>k</w:t>
      </w:r>
      <w:r w:rsidR="00AB5D85">
        <w:t xml:space="preserve">nowledge relies to a large extent on the recombination of </w:t>
      </w:r>
      <w:r w:rsidR="007E291A">
        <w:t>diverse</w:t>
      </w:r>
      <w:r w:rsidR="002015B3">
        <w:t xml:space="preserve"> </w:t>
      </w:r>
      <w:r w:rsidR="00E74618">
        <w:t xml:space="preserve">existing </w:t>
      </w:r>
      <w:r w:rsidR="00AB5D85">
        <w:t>knowledge</w:t>
      </w:r>
      <w:r w:rsidR="002015B3">
        <w:t xml:space="preserve"> elements</w:t>
      </w:r>
      <w:r w:rsidR="00AB5D85">
        <w:t xml:space="preserve"> </w:t>
      </w:r>
      <w:r w:rsidR="00AB5D85">
        <w:fldChar w:fldCharType="begin" w:fldLock="1"/>
      </w:r>
      <w:r w:rsidR="00814EAA">
        <w:instrText>ADDIN CSL_CITATION {"citationItems":[{"id":"ITEM-1","itemData":{"author":[{"dropping-particle":"","family":"Nelson","given":"Richard R.","non-dropping-particle":"","parse-names":false,"suffix":""},{"dropping-particle":"","family":"Winter","given":"S. G.","non-dropping-particle":"","parse-names":false,"suffix":""}],"id":"ITEM-1","issued":{"date-parts":[["1982"]]},"publisher":"Harvard University Press","publisher-place":"Cambridge, MA","title":"An evolutionary theory of economic change.","type":"book"},"uris":["http://www.mendeley.com/documents/?uuid=643afbd5-6afa-4d3d-a3dd-6181811fe3b2"]},{"id":"ITEM-2","itemData":{"DOI":"10.1287/mnsc.47.1.117.10671","ISSN":"00251909","abstract":"While the course of technological change is widely accepted to be highly uncertain and unpredictable, little work has identified or studied the ultimate sources and causes of that uncertainty. This paper proposes that purely technological uncertainty derives from inventors' search processes with unfamiliar components and component combinations. Experimentation with new components and new combinations leads to less useful inventions on average, but it also implies an increase in the variability that can result in both failure and breakthrough. Negative binomial count and dispersion models with patent citation data demonstrate that new combinations are indeed more variable. In contrast to predictions, however, the reuse of components has a nonmonotonic and eventually positive effect on variability.","author":[{"dropping-particle":"","family":"Fleming","given":"Lee","non-dropping-particle":"","parse-names":false,"suffix":""}],"container-title":"Management Science","id":"ITEM-2","issue":"1","issued":{"date-parts":[["2001"]]},"page":"117-132","publisher":"INFORMS Inst.for Operations Res.and the Management Sciences","title":"Recombinant uncertainty in technological search","type":"article-journal","volume":"47"},"uris":["http://www.mendeley.com/documents/?uuid=238d9ee0-76b2-33a4-9c79-4699dd83083a"]},{"id":"ITEM-3","itemData":{"abstract":"The article reviews the book \"The Theory of Economic Development,\" by Joseph A. Schumpeter.","author":[{"dropping-particle":"","family":"Schumpeter","given":"Joseph A","non-dropping-particle":"","parse-names":false,"suffix":""}],"container-title":"The Theory of Economic Development","id":"ITEM-3","issued":{"date-parts":[["1934"]]},"publisher":"Harvard University Press","publisher-place":"Cambridge, MA","title":"The theory of economic development","type":"book"},"uris":["http://www.mendeley.com/documents/?uuid=c7684f60-d599-468f-989c-07e589039fbb"]}],"mendeley":{"formattedCitation":"(Fleming, 2001; Nelson &amp; Winter, 1982; Schumpeter, 1934a)","manualFormatting":"(Fleming, 2001; Nelson &amp; Winters, 1982; Schumpeter, 1934)","plainTextFormattedCitation":"(Fleming, 2001; Nelson &amp; Winter, 1982; Schumpeter, 1934a)","previouslyFormattedCitation":"(Fleming, 2001; Nelson &amp; Winter, 1982; Schumpeter, 1934a)"},"properties":{"noteIndex":0},"schema":"https://github.com/citation-style-language/schema/raw/master/csl-citation.json"}</w:instrText>
      </w:r>
      <w:r w:rsidR="00AB5D85">
        <w:fldChar w:fldCharType="separate"/>
      </w:r>
      <w:r w:rsidR="00AB5D85" w:rsidRPr="00353E3A">
        <w:rPr>
          <w:noProof/>
        </w:rPr>
        <w:t>(Fleming, 2001; Nelson &amp; Winters, 1982; Schumpeter, 1934)</w:t>
      </w:r>
      <w:r w:rsidR="00AB5D85">
        <w:fldChar w:fldCharType="end"/>
      </w:r>
      <w:r w:rsidR="00AB5D85">
        <w:t xml:space="preserve"> and is </w:t>
      </w:r>
      <w:r w:rsidR="00762389">
        <w:t xml:space="preserve">mostly </w:t>
      </w:r>
      <w:r w:rsidR="00AB5D85">
        <w:t>a team endeavor</w:t>
      </w:r>
      <w:r>
        <w:t xml:space="preserve"> </w:t>
      </w:r>
      <w:r>
        <w:fldChar w:fldCharType="begin" w:fldLock="1"/>
      </w:r>
      <w:r w:rsidR="00814EAA">
        <w:instrText>ADDIN CSL_CITATION {"citationItems":[{"id":"ITEM-1","itemData":{"DOI":"10.1287/orsc.3.3.383","ISBN":"9780080509822","ISSN":"1047-7039","author":[{"dropping-particle":"","family":"Kogut","given":"Bruce","non-dropping-particle":"","parse-names":false,"suffix":""},{"dropping-particle":"","family":"Zander","given":"Udo","non-dropping-particle":"","parse-names":false,"suffix":""}],"container-title":"Organization Science","id":"ITEM-1","issue":"3","issued":{"date-parts":[["1992"]]},"page":"383-397","title":"Knowledge of the firm. Combinative capabilities, and the replication of technology","type":"article-journal","volume":"3"},"uris":["http://www.mendeley.com/documents/?uuid=e32aa54f-83b4-482b-9ea2-c5b58e6eaed5"]}],"mendeley":{"formattedCitation":"(Kogut &amp; Zander, 1992)","plainTextFormattedCitation":"(Kogut &amp; Zander, 1992)","previouslyFormattedCitation":"(Kogut &amp; Zander, 1992)"},"properties":{"noteIndex":0},"schema":"https://github.com/citation-style-language/schema/raw/master/csl-citation.json"}</w:instrText>
      </w:r>
      <w:r>
        <w:fldChar w:fldCharType="separate"/>
      </w:r>
      <w:r w:rsidR="00814EAA" w:rsidRPr="00814EAA">
        <w:rPr>
          <w:noProof/>
        </w:rPr>
        <w:t>(Kogut &amp; Zander, 1992)</w:t>
      </w:r>
      <w:r>
        <w:fldChar w:fldCharType="end"/>
      </w:r>
      <w:r w:rsidR="002015B3">
        <w:t xml:space="preserve">. </w:t>
      </w:r>
      <w:r w:rsidR="00E75D8D">
        <w:t>T</w:t>
      </w:r>
      <w:r w:rsidR="002015B3">
        <w:t>he benefits of</w:t>
      </w:r>
      <w:r w:rsidR="007123A3">
        <w:t xml:space="preserve"> stars</w:t>
      </w:r>
      <w:r w:rsidR="002015B3">
        <w:t xml:space="preserve"> for the recombination of</w:t>
      </w:r>
      <w:r w:rsidR="007123A3">
        <w:t xml:space="preserve"> knowledge in teams</w:t>
      </w:r>
      <w:r w:rsidR="00AB5D85">
        <w:t xml:space="preserve">, </w:t>
      </w:r>
      <w:r w:rsidR="001D680E">
        <w:t>such as</w:t>
      </w:r>
      <w:r w:rsidR="00762389">
        <w:t xml:space="preserve"> their </w:t>
      </w:r>
      <w:r w:rsidR="006F5099">
        <w:t xml:space="preserve">creative synthesis abilities </w:t>
      </w:r>
      <w:r w:rsidR="006F5099">
        <w:fldChar w:fldCharType="begin" w:fldLock="1"/>
      </w:r>
      <w:r w:rsidR="00814EAA">
        <w:instrText>ADDIN CSL_CITATION {"citationItems":[{"id":"ITEM-1","itemData":{"DOI":"10.1287/orsc.2018.1223","ISSN":"15265455","abstract":"Creative stars make disproportionately influential contributions to their fields. Yet we know little about how an innovator's creative performance is affected by collaborating with stars. This paper studies the creative aspects of interpersonal collaboration from a distinct perspective: the quality of the collaborator. Both star and nonstar collaborators provide different benefits to a focal innovator. The innovator benefits from collaborating with nonstars because they may provide access to diverse information improving the outcome of the creative task at hand. In contrast, the focal innovator benefits from collaborating with stars because the focal innovator can also experience and learn from the star's superior set of creative synthesis skills (which integrate diverse, sometimes contradictory ideas into new coherent and holistic solutions) and, thus, build lasting creative capabilities. Building on theoretical arguments about those two different collaboration purposes, we first examine how a star collaboration (versus a nonstar collaboration) affects a comprehensive measure of an innovator's creativity: the likelihood of emerging as a star. Second, we examine how the different creative benefits of engaging with a star versus a nonstar collaborator affect the effect of two widely studied aspects of interpersonal collaboration on star emergence: social network cohesion and expertise similarity. In contrast to collaborations with nonstars, for which social cohesion and expertise similarity limit access to diverse information, negatively affecting star emergence, social network cohesion and expertise similarity have a decidedly positive effect on star collaborations by improving the transfer of the star's set of creative skills. Our empirical setting consists of designers who have been granted design patents in the United States from 1975 through 2010.","author":[{"dropping-particle":"","family":"Liu","given":"Haibo","non-dropping-particle":"","parse-names":false,"suffix":""},{"dropping-particle":"","family":"Mihm","given":"Jürgen","non-dropping-particle":"","parse-names":false,"suffix":""},{"dropping-particle":"","family":"Sosa","given":"Manuel E.","non-dropping-particle":"","parse-names":false,"suffix":""}],"container-title":"Organization Science","id":"ITEM-1","issue":"6","issued":{"date-parts":[["2019","10","1"]]},"page":"1149-1169","publisher":"INFORMS Inst.for Operations Res.and the Management Sciences","title":"Where do stars come from? The role of star vs. nonstar collaborators in creative settings","type":"article-journal","volume":"29"},"uris":["http://www.mendeley.com/documents/?uuid=03d0aa89-6fd2-3dd4-8e24-34ecc78b89ae"]}],"mendeley":{"formattedCitation":"(Liu, Mihm, &amp; Sosa, 2019)","plainTextFormattedCitation":"(Liu, Mihm, &amp; Sosa, 2019)","previouslyFormattedCitation":"(Liu, Mihm, &amp; Sosa, 2019)"},"properties":{"noteIndex":0},"schema":"https://github.com/citation-style-language/schema/raw/master/csl-citation.json"}</w:instrText>
      </w:r>
      <w:r w:rsidR="006F5099">
        <w:fldChar w:fldCharType="separate"/>
      </w:r>
      <w:r w:rsidR="00814EAA" w:rsidRPr="00814EAA">
        <w:rPr>
          <w:noProof/>
        </w:rPr>
        <w:t>(Liu, Mihm, &amp; Sosa, 2019)</w:t>
      </w:r>
      <w:r w:rsidR="006F5099">
        <w:fldChar w:fldCharType="end"/>
      </w:r>
      <w:r w:rsidR="002015B3">
        <w:t xml:space="preserve">, </w:t>
      </w:r>
      <w:r w:rsidR="00E74618">
        <w:t xml:space="preserve">are well </w:t>
      </w:r>
      <w:r w:rsidR="00E75D8D">
        <w:t>established</w:t>
      </w:r>
      <w:r w:rsidR="004377FB">
        <w:t xml:space="preserve">. </w:t>
      </w:r>
      <w:r w:rsidR="00054FDB">
        <w:t>However</w:t>
      </w:r>
      <w:r w:rsidR="002015B3">
        <w:t>,</w:t>
      </w:r>
      <w:r>
        <w:t xml:space="preserve"> </w:t>
      </w:r>
      <w:r w:rsidR="002015B3">
        <w:t xml:space="preserve">recent </w:t>
      </w:r>
      <w:r w:rsidR="004377FB">
        <w:t xml:space="preserve">evidence suggest that stars might also </w:t>
      </w:r>
      <w:r w:rsidR="001D680E">
        <w:t>induce</w:t>
      </w:r>
      <w:r w:rsidR="004377FB">
        <w:t xml:space="preserve"> </w:t>
      </w:r>
      <w:r>
        <w:t>adverse</w:t>
      </w:r>
      <w:r w:rsidR="004377FB">
        <w:t xml:space="preserve"> effects</w:t>
      </w:r>
      <w:r>
        <w:t xml:space="preserve"> on </w:t>
      </w:r>
      <w:r w:rsidR="00AB5D85">
        <w:t xml:space="preserve">knowledge </w:t>
      </w:r>
      <w:r w:rsidR="00762389">
        <w:t>recombination</w:t>
      </w:r>
      <w:r w:rsidR="00AB5D85">
        <w:t xml:space="preserve"> in teams</w:t>
      </w:r>
      <w:r>
        <w:t>, mainly due to</w:t>
      </w:r>
      <w:r w:rsidRPr="00BB17B5">
        <w:t xml:space="preserve"> </w:t>
      </w:r>
      <w:r>
        <w:t xml:space="preserve">increased focus on the star and development of star-centric routines </w:t>
      </w:r>
      <w:r w:rsidRPr="006E13EA">
        <w:fldChar w:fldCharType="begin" w:fldLock="1"/>
      </w:r>
      <w:r w:rsidR="00814EAA">
        <w:instrText>ADDIN CSL_CITATION {"citationItems":[{"id":"ITEM-1","itemData":{"DOI":"10.1002/smj.2758","ISSN":"10970266","abstract":"Research Summary: While research has focused primarily on stars as individual contributors, we examine organizational situations where stars must work closely with non-stars. We argue that, in such situations, building teamwork around a star is an exercise in learning under complexity. In response, organizations prioritize interactions involving the star to simplify learning. This simplification, however, creates organizational myopia. We claim that a star’s temporary absence helps the organization overcome myopia by triggering a search for new routines. When he returns, the organization may combine these new routines with pre-absence routines to improve teamwork and performance. We exploit injuries to star players in the National Basketball Association as an exogenous shock and find that on average, teams perform better after a star’s return than before his absence. Managerial Summary: This study examines the effect of the temporary absence of a star evidence that a star employee’s temporary absence helps the organization overcome an over-reliance on the star and improve teamwork. Improved teamwork, in turn, enables the organization to perform better upon the star’s return than it did prior to his absence. This result suggests that organizations might want to revisit the tendency to view stars as too valuable to lose, even for a short time. In particular, organizations may want to pull stars from ongoing projects and encourage them to attend professional development programs. A star’s temporary absence and return from such a program improves not only the star’s skills but also the organization’s teamwork.","author":[{"dropping-particle":"","family":"Chen","given":"John S.","non-dropping-particle":"","parse-names":false,"suffix":""},{"dropping-particle":"","family":"Garg","given":"Pranav","non-dropping-particle":"","parse-names":false,"suffix":""}],"container-title":"Strategic Management Journal","id":"ITEM-1","issue":"5","issued":{"date-parts":[["2018","5","1"]]},"page":"1239-1267","publisher":"John Wiley and Sons Ltd","title":"Dancing with the stars: Benefits of a star employee’s temporary absence for organizational performance","type":"article-journal","volume":"39"},"uris":["http://www.mendeley.com/documents/?uuid=58ca222c-36e0-3a31-847a-c5735491d9f8"]},{"id":"ITEM-2","itemData":{"DOI":"10.1177/0149206313513612","ISBN":"0149206313","ISSN":"01492063","abstract":"Conceptualizing new knowledge development as a process of search and recombination, we suggest that a focus on individual productivity alone presents an undersocialized view of human capital. Rather, we emphasize the importance of embedded relationships by individuals to effectively perform knowledge-generating activities. We rely on intraorganizational knowledge networks emerging through individual collaboration to identify actors who can positively influence their organization's knowledge outcomes. We study two types of such relational stars: integrators (outliers in centrality) and connectors (outliers in bridging behavior). We test our ideas using the patenting portfolios of 106 pharmaceutical firms from 1974 to 1998 predicting the effect of relational stars on their firm's quantity and quality of inventive output-proxies for the firm's capacity to develop more and better new knowledge stocks. We find that the presence of relational stars results in firm-level knowledge advantages not only through their own superior recombinant efforts, but also through their capacity to make others around them more effective at knowledge recombination. Relational stars are firm-specific, and their advantages are socially complex and causally ambiguous because they rely on a network of within-firm interactions. Relational stars, therefore, are prime candidates to be a source of sustainable firm-level knowledge advantage. © The Author(s) 2013.","author":[{"dropping-particle":"","family":"Grigoriou","given":"Konstantinos","non-dropping-particle":"","parse-names":false,"suffix":""},{"dropping-particle":"","family":"Rothaermel","given":"Frank T.","non-dropping-particle":"","parse-names":false,"suffix":""}],"container-title":"Journal of Management","id":"ITEM-2","issue":"2","issued":{"date-parts":[["2014"]]},"page":"586-615","title":"Structural microfoundations of innovation: The role of relational stars","type":"article-journal","volume":"40"},"uris":["http://www.mendeley.com/documents/?uuid=e22b1485-0f12-4c5a-ba4b-4e1ea8005c76"]},{"id":"ITEM-3","itemData":{"DOI":"10.1002/smj.2240","ISBN":"1097-0266","ISSN":"10970266","PMID":"875962929","abstract":"Do star employees enhance or constrain the innovative performance of an organization? Using data from 456 biotechnology firms between 1973 and 2003, we highlight the duality of the effects that stars have on firm performance. We show that while stars positively affect firms' productivity, their presence constrains the emergence of other innovative leaders in an organization. We find that firm productivity and innovative leadership among non-stars in a firm are greatest when a star has broad expertise and collaborates frequently. We offer cross-disciplinary insights into the role of human capital as a source of competitive advantage, suggesting that the value of human capital in a firm is contingent on the mutual dependence inherent in high-status employees' relationships with other individuals in a firm.","author":[{"dropping-particle":"","family":"Kehoe","given":"Rebecca R.","non-dropping-particle":"","parse-names":false,"suffix":""},{"dropping-particle":"","family":"Tzabbar","given":"Daniel","non-dropping-particle":"","parse-names":false,"suffix":""}],"container-title":"Strategic Management Journal","id":"ITEM-3","issue":"5","issued":{"date-parts":[["2015"]]},"page":"709-727","title":"Lighting the way or stealing the shine? An examination of the duality in star scientists' effects on firm innovative performance","type":"article-journal","volume":"36"},"uris":["http://www.mendeley.com/documents/?uuid=b43a5f5b-03f3-4373-ba36-1dde3a9092f1"]},{"id":"ITEM-4","itemData":{"DOI":"10.1287/mnsc.1110.1470","ISSN":"00251909","abstract":"It is surprising that the prevailing performance taxonomy for scientists (star versus nonstar) focuses only on individual output and ignores social behavior, because innovation is often characterized as a communal process. To develop a deeper understanding of the mechanisms by which scientists influence the productivity of others, I expand the traditional taxonomy of scientists that focuses solely on productivity and add a second, social dimension: helpfulness to others. Using a combination of academic paper publications and citations to capture scientist productivity and the receipt of academic paper acknowledgments to measure helpfulness, I examine the change in publishing output of the coauthors of 149 scientists that die. Coauthors of highly helpful scientists that die experience a decrease in output quality but not output quantity. Meanwhile, the deaths of high productivity scientists that are not highly helpful do not influence their coauthors' output. In addition, scientists who are helpful with conceptual feedback (critique and advice) have a larger impact on the performance of their coauthors than scientists who provide help with material access, scientific tools, or technical work. Within the context of evaluating scientific productivity, it may be time to update our conceptualization of a \"star.\". © 2012 INFORMS.","author":[{"dropping-particle":"","family":"Oettl","given":"Alexander","non-dropping-particle":"","parse-names":false,"suffix":""}],"container-title":"Management Science","id":"ITEM-4","issue":"6","issued":{"date-parts":[["2012","6"]]},"page":"1122-1140","title":"Reconceptualizing stars: Scientist helpfulness and peer performance","type":"article-journal","volume":"58"},"uris":["http://www.mendeley.com/documents/?uuid=ea5dbf47-f05d-3328-a53f-a40cbb0866d9"]},{"id":"ITEM-5","itemData":{"ISSN":"1558-9080","abstract":"Star employees create disproportionate value for organizations. However, managing stars is decidedly difficult. Scholars have not yet appropriately addressed this practical problem. Much of the problem is interpreting our theoretical models that convey human capital from a static perspective. By combining incomplete contract theory with human capital research and theories of strategy, we show how existing theory can provide a framework for solving problems related to managing stars while also offering a platform for further research within the strategic human capital field. To do this, we recap extant theory and examine how stars create value for an organization by co-developing firm-specific while simultaneously developing general human capital. Second, we provide a practical dynamic value appropriation framework illustrating how the employer and the employee determine who captures the value stars create as they go through the employment life cycle.","author":[{"dropping-particle":"","family":"Morris","given":"Shad","non-dropping-particle":"","parse-names":false,"suffix":""},{"dropping-particle":"","family":"Alvarez","given":"Sharon A","non-dropping-particle":"","parse-names":false,"suffix":""},{"dropping-particle":"","family":"Barney","given":"Jay","non-dropping-particle":"","parse-names":false,"suffix":""}],"container-title":"Academy of Management Perspectives","id":"ITEM-5","issued":{"date-parts":[["2018","11","2"]]},"publisher":"Academy of Management","title":"Dancing with the stars: The practical value of theory in managing star employees","type":"article-journal"},"uris":["http://www.mendeley.com/documents/?uuid=87f0cede-11f1-38b6-8f9e-fe7bec8a6485"]}],"mendeley":{"formattedCitation":"(Chen &amp; Garg, 2018; Grigoriou &amp; Rothaermel, 2014; Kehoe &amp; Tzabbar, 2015; Morris, Alvarez, &amp; Barney, 2018; Oettl, 2012)","manualFormatting":"(Chen &amp; Garg, 2018; Grigoriou &amp; Rothaermel, 2014; Kehoe &amp; Tzabbar, 2015; Morris, Alvarez, &amp; Barney, 2018)","plainTextFormattedCitation":"(Chen &amp; Garg, 2018; Grigoriou &amp; Rothaermel, 2014; Kehoe &amp; Tzabbar, 2015; Morris, Alvarez, &amp; Barney, 2018; Oettl, 2012)","previouslyFormattedCitation":"(Chen &amp; Garg, 2018; Grigoriou &amp; Rothaermel, 2014; Kehoe &amp; Tzabbar, 2015; Morris, Alvarez, &amp; Barney, 2018; Oettl, 2012)"},"properties":{"noteIndex":0},"schema":"https://github.com/citation-style-language/schema/raw/master/csl-citation.json"}</w:instrText>
      </w:r>
      <w:r w:rsidRPr="006E13EA">
        <w:fldChar w:fldCharType="separate"/>
      </w:r>
      <w:r w:rsidRPr="00BB17B5">
        <w:rPr>
          <w:noProof/>
        </w:rPr>
        <w:t>(Chen &amp; Garg, 2018; Grigoriou &amp; Rothaermel, 2014; Kehoe &amp; Tzabbar, 2015; Morris, Alvarez, &amp; Barney, 2018)</w:t>
      </w:r>
      <w:r w:rsidRPr="006E13EA">
        <w:fldChar w:fldCharType="end"/>
      </w:r>
      <w:r w:rsidRPr="00BB17B5">
        <w:t>.</w:t>
      </w:r>
      <w:r>
        <w:t xml:space="preserve"> </w:t>
      </w:r>
      <w:r w:rsidR="00113EAC">
        <w:t>Considering</w:t>
      </w:r>
      <w:r w:rsidR="00637D5E">
        <w:t xml:space="preserve"> these positive and negative effects of stars on knowledge recombination in teams, i</w:t>
      </w:r>
      <w:r w:rsidR="005B3DF9">
        <w:t xml:space="preserve">t is important to identify </w:t>
      </w:r>
      <w:r w:rsidR="001D680E">
        <w:t xml:space="preserve">factors </w:t>
      </w:r>
      <w:r w:rsidR="005B3DF9">
        <w:t>that determine</w:t>
      </w:r>
      <w:r w:rsidR="009C306E">
        <w:t xml:space="preserve"> </w:t>
      </w:r>
      <w:r w:rsidR="001D680E">
        <w:t>the extent of both costs and benefits</w:t>
      </w:r>
      <w:r w:rsidR="009C306E">
        <w:t>.</w:t>
      </w:r>
    </w:p>
    <w:p w14:paraId="60A2B03A" w14:textId="689CD5AD" w:rsidR="0039527A" w:rsidRDefault="00287AB6" w:rsidP="00927662">
      <w:r>
        <w:t xml:space="preserve">We identify the gender of a star as a </w:t>
      </w:r>
      <w:r w:rsidR="001D680E">
        <w:t>determinant</w:t>
      </w:r>
      <w:r>
        <w:t xml:space="preserve"> for how star knowledge workers affect knowledge recombination in teams. </w:t>
      </w:r>
      <w:r w:rsidR="0039527A">
        <w:t xml:space="preserve">Much of the literature so far assumes that </w:t>
      </w:r>
      <w:r w:rsidR="00941514">
        <w:t xml:space="preserve">star </w:t>
      </w:r>
      <w:r w:rsidR="0039527A">
        <w:t xml:space="preserve">effects generalize to all stars. </w:t>
      </w:r>
      <w:r w:rsidR="00004F9A">
        <w:t>Yet</w:t>
      </w:r>
      <w:r w:rsidR="003B738E">
        <w:t>, w</w:t>
      </w:r>
      <w:r w:rsidR="0039527A" w:rsidRPr="00BB17B5">
        <w:t xml:space="preserve">hat we know about stars </w:t>
      </w:r>
      <w:r w:rsidR="0039527A">
        <w:t xml:space="preserve">does not account for differences resulting from salient star characteristics. In particular, since the majority of stars tend to be </w:t>
      </w:r>
      <w:r w:rsidR="001904F1">
        <w:t>men</w:t>
      </w:r>
      <w:r w:rsidR="0039527A">
        <w:t>, partly due to lower representation of women</w:t>
      </w:r>
      <w:r w:rsidR="0039527A" w:rsidRPr="00BB17B5">
        <w:t xml:space="preserve"> among the top ranks of many knowledge-based professions </w:t>
      </w:r>
      <w:r w:rsidR="0039527A" w:rsidRPr="00B30BA1">
        <w:fldChar w:fldCharType="begin" w:fldLock="1"/>
      </w:r>
      <w:r w:rsidR="00814EAA">
        <w:instrText>ADDIN CSL_CITATION {"citationItems":[{"id":"ITEM-1","itemData":{"abstract":"HOUSEHOLD DATA ANNUAL AVERAGES 39. Median weekly earnings of full-time wage and salary workers by detailed occupation and sex","author":[{"dropping-particle":"","family":"U.S. Bureau of Labor Statistics","given":"","non-dropping-particle":"","parse-names":false,"suffix":""}],"container-title":"Labor force statistics from the Current Population Survey","id":"ITEM-1","issued":{"date-parts":[["2016"]]},"title":"Employed persons by detailed occupation, race, and Hispanic or Latino ethnicity","type":"report"},"uris":["http://www.mendeley.com/documents/?uuid=819e679c-dd6f-3b9e-a71f-78229af2cb8f"]},{"id":"ITEM-2","itemData":{"URL":"https://www.americanprogress.org/issues/women/reports/2018/11/20/461273/womens-leadership-gap-2/","accessed":{"date-parts":[["2019","12","6"]]},"author":[{"dropping-particle":"","family":"Center for American Progress","given":"","non-dropping-particle":"","parse-names":false,"suffix":""}],"id":"ITEM-2","issued":{"date-parts":[["2018"]]},"title":"The women’s leadership gap","type":"webpage"},"uris":["http://www.mendeley.com/documents/?uuid=460fc75c-9c81-33cb-a469-710388fc5335"]}],"mendeley":{"formattedCitation":"(Center for American Progress, 2018; U.S. Bureau of Labor Statistics, 2016)","manualFormatting":"(Center for American Progress, 2018; U.S. Bureau of Labor Statistics, 2016)","plainTextFormattedCitation":"(Center for American Progress, 2018; U.S. Bureau of Labor Statistics, 2016)","previouslyFormattedCitation":"(Center for American Progress, 2018; U.S. Bureau of Labor Statistics, 2016)"},"properties":{"noteIndex":0},"schema":"https://github.com/citation-style-language/schema/raw/master/csl-citation.json"}</w:instrText>
      </w:r>
      <w:r w:rsidR="0039527A" w:rsidRPr="00B30BA1">
        <w:fldChar w:fldCharType="separate"/>
      </w:r>
      <w:r w:rsidR="0039527A" w:rsidRPr="00BB17B5">
        <w:rPr>
          <w:noProof/>
        </w:rPr>
        <w:t>(Center for American Progress, 2018; U.S. Bureau of Labor Statistics, 2016)</w:t>
      </w:r>
      <w:r w:rsidR="0039527A" w:rsidRPr="00B30BA1">
        <w:fldChar w:fldCharType="end"/>
      </w:r>
      <w:r w:rsidR="0039527A" w:rsidRPr="006D7F7F">
        <w:t xml:space="preserve">, </w:t>
      </w:r>
      <w:r w:rsidR="001904F1">
        <w:t xml:space="preserve">our understanding of </w:t>
      </w:r>
      <w:r w:rsidR="0039527A">
        <w:t>stars’ contribution to creative knowledge work may very well be restricted to male stars</w:t>
      </w:r>
      <w:r w:rsidR="0039527A" w:rsidRPr="00BB17B5">
        <w:t>.</w:t>
      </w:r>
      <w:r w:rsidR="004D7BD4">
        <w:t xml:space="preserve"> </w:t>
      </w:r>
      <w:r w:rsidR="00004F9A">
        <w:t>However</w:t>
      </w:r>
      <w:r>
        <w:t xml:space="preserve">, </w:t>
      </w:r>
      <w:r w:rsidR="001D680E">
        <w:t>research</w:t>
      </w:r>
      <w:r w:rsidR="00CB4D7C">
        <w:t xml:space="preserve"> </w:t>
      </w:r>
      <w:r w:rsidR="001D680E">
        <w:t>from</w:t>
      </w:r>
      <w:r w:rsidR="00CB4D7C">
        <w:t xml:space="preserve"> sociology and psychology suggest</w:t>
      </w:r>
      <w:r w:rsidR="0044214A">
        <w:t>s</w:t>
      </w:r>
      <w:r>
        <w:t xml:space="preserve"> that male </w:t>
      </w:r>
      <w:r>
        <w:lastRenderedPageBreak/>
        <w:t>and female (star)</w:t>
      </w:r>
      <w:r w:rsidR="004B3F13">
        <w:t xml:space="preserve"> knowledge workers</w:t>
      </w:r>
      <w:r>
        <w:t xml:space="preserve"> play remarkably different roles in team settings. We therefore seek to answer the following research question: </w:t>
      </w:r>
      <w:r w:rsidR="001D680E">
        <w:t>do teams with female v</w:t>
      </w:r>
      <w:r w:rsidR="000627F8">
        <w:t>ersus</w:t>
      </w:r>
      <w:r w:rsidR="001D680E">
        <w:t xml:space="preserve"> male stars recombine knowledge more broadly</w:t>
      </w:r>
      <w:r>
        <w:t>? W</w:t>
      </w:r>
      <w:r w:rsidR="004D7BD4">
        <w:t xml:space="preserve">e focus on the breadth of knowledge </w:t>
      </w:r>
      <w:r w:rsidR="001D680E">
        <w:t>recombination</w:t>
      </w:r>
      <w:r w:rsidR="0044214A">
        <w:t>,</w:t>
      </w:r>
      <w:r w:rsidR="004D7BD4">
        <w:t xml:space="preserve"> as </w:t>
      </w:r>
      <w:r w:rsidR="00770EE2">
        <w:t xml:space="preserve">it captures </w:t>
      </w:r>
      <w:r w:rsidR="004D7BD4">
        <w:t xml:space="preserve">the </w:t>
      </w:r>
      <w:r w:rsidR="00770EE2">
        <w:t>degree to which</w:t>
      </w:r>
      <w:r w:rsidR="004D7BD4">
        <w:t xml:space="preserve"> diverse</w:t>
      </w:r>
      <w:r w:rsidR="00CB4D7C">
        <w:t xml:space="preserve"> </w:t>
      </w:r>
      <w:r w:rsidR="004D7BD4">
        <w:t>knowledge</w:t>
      </w:r>
      <w:r w:rsidR="00CB4D7C">
        <w:t xml:space="preserve"> elements are</w:t>
      </w:r>
      <w:r w:rsidR="00770EE2">
        <w:t xml:space="preserve"> </w:t>
      </w:r>
      <w:r w:rsidR="001D680E">
        <w:t>integrated</w:t>
      </w:r>
      <w:r w:rsidR="00770EE2">
        <w:t xml:space="preserve"> and</w:t>
      </w:r>
      <w:r>
        <w:t xml:space="preserve"> because it</w:t>
      </w:r>
      <w:r w:rsidR="00770EE2">
        <w:t xml:space="preserve"> is </w:t>
      </w:r>
      <w:r w:rsidR="004D7BD4">
        <w:t xml:space="preserve">crucial for </w:t>
      </w:r>
      <w:r w:rsidR="00770EE2">
        <w:t xml:space="preserve">creativity and innovation </w:t>
      </w:r>
      <w:r w:rsidR="00770EE2">
        <w:fldChar w:fldCharType="begin" w:fldLock="1"/>
      </w:r>
      <w:r w:rsidR="00814EAA">
        <w:instrText>ADDIN CSL_CITATION {"citationItems":[{"id":"ITEM-1","itemData":{"DOI":"10.1287/mnsc.47.1.117.10671","ISSN":"00251909","abstract":"While the course of technological change is widely accepted to be highly uncertain and unpredictable, little work has identified or studied the ultimate sources and causes of that uncertainty. This paper proposes that purely technological uncertainty derives from inventors' search processes with unfamiliar components and component combinations. Experimentation with new components and new combinations leads to less useful inventions on average, but it also implies an increase in the variability that can result in both failure and breakthrough. Negative binomial count and dispersion models with patent citation data demonstrate that new combinations are indeed more variable. In contrast to predictions, however, the reuse of components has a nonmonotonic and eventually positive effect on variability.","author":[{"dropping-particle":"","family":"Fleming","given":"Lee","non-dropping-particle":"","parse-names":false,"suffix":""}],"container-title":"Management Science","id":"ITEM-1","issue":"1","issued":{"date-parts":[["2001"]]},"page":"117-132","publisher":"INFORMS Inst.for Operations Res.and the Management Sciences","title":"Recombinant uncertainty in technological search","type":"article-journal","volume":"47"},"uris":["http://www.mendeley.com/documents/?uuid=238d9ee0-76b2-33a4-9c79-4699dd83083a"]},{"id":"ITEM-2","itemData":{"author":[{"dropping-particle":"","family":"Nelson","given":"Richard R.","non-dropping-particle":"","parse-names":false,"suffix":""},{"dropping-particle":"","family":"Winter","given":"S. G.","non-dropping-particle":"","parse-names":false,"suffix":""}],"id":"ITEM-2","issued":{"date-parts":[["1982"]]},"publisher":"Harvard University Press","publisher-place":"Cambridge, MA","title":"An evolutionary theory of economic change.","type":"book"},"uris":["http://www.mendeley.com/documents/?uuid=643afbd5-6afa-4d3d-a3dd-6181811fe3b2"]},{"id":"ITEM-3","itemData":{"author":[{"dropping-particle":"","family":"Schumpeter","given":"Joseph A","non-dropping-particle":"","parse-names":false,"suffix":""}],"id":"ITEM-3","issued":{"date-parts":[["1934"]]},"publisher":"Harper &amp; Row","publisher-place":"New York","title":"Capitalism, socialism, and democracy","type":"book"},"uris":["http://www.mendeley.com/documents/?uuid=e53fbb01-e62c-47f3-b7dd-b3dda9948d3c"]}],"mendeley":{"formattedCitation":"(Fleming, 2001; Nelson &amp; Winter, 1982; Schumpeter, 1934b)","plainTextFormattedCitation":"(Fleming, 2001; Nelson &amp; Winter, 1982; Schumpeter, 1934b)","previouslyFormattedCitation":"(Fleming, 2001; Nelson &amp; Winter, 1982; Schumpeter, 1934b)"},"properties":{"noteIndex":0},"schema":"https://github.com/citation-style-language/schema/raw/master/csl-citation.json"}</w:instrText>
      </w:r>
      <w:r w:rsidR="00770EE2">
        <w:fldChar w:fldCharType="separate"/>
      </w:r>
      <w:r w:rsidR="00814EAA" w:rsidRPr="00814EAA">
        <w:rPr>
          <w:noProof/>
        </w:rPr>
        <w:t>(Fleming, 2001; Nelson &amp; Winter, 1982; Schumpeter, 1934b)</w:t>
      </w:r>
      <w:r w:rsidR="00770EE2">
        <w:fldChar w:fldCharType="end"/>
      </w:r>
      <w:r w:rsidR="00770EE2">
        <w:t>.</w:t>
      </w:r>
      <w:r w:rsidR="004D7BD4">
        <w:t xml:space="preserve"> </w:t>
      </w:r>
      <w:r w:rsidR="00927662">
        <w:t>Hargadon</w:t>
      </w:r>
      <w:r w:rsidR="00D00F78">
        <w:t xml:space="preserve"> </w:t>
      </w:r>
      <w:r w:rsidR="00927662">
        <w:fldChar w:fldCharType="begin" w:fldLock="1"/>
      </w:r>
      <w:r w:rsidR="00642FC1">
        <w:instrText>ADDIN CSL_CITATION {"citationItems":[{"id":"ITEM-1","itemData":{"DOI":"10.2307/41165951","ISSN":"00081256","author":[{"dropping-particle":"","family":"Hargadon","given":"Andrew B.","non-dropping-particle":"","parse-names":false,"suffix":""}],"container-title":"California Management Review","id":"ITEM-1","issue":"3","issued":{"date-parts":[["1998"]]},"page":"209-227","publisher":"Haas School of Business","title":"Firms as knowledge brokers: Lessons in pursuing continuous innovation","type":"article-journal"},"suppress-author":1,"uris":["http://www.mendeley.com/documents/?uuid=35d22c1a-02dd-3a96-ac73-d18fca1c0ab1"]}],"mendeley":{"formattedCitation":"(1998)","plainTextFormattedCitation":"(1998)","previouslyFormattedCitation":"(1998)"},"properties":{"noteIndex":0},"schema":"https://github.com/citation-style-language/schema/raw/master/csl-citation.json"}</w:instrText>
      </w:r>
      <w:r w:rsidR="00927662">
        <w:fldChar w:fldCharType="separate"/>
      </w:r>
      <w:r w:rsidR="00927662" w:rsidRPr="00927662">
        <w:rPr>
          <w:noProof/>
        </w:rPr>
        <w:t>(1998)</w:t>
      </w:r>
      <w:r w:rsidR="00927662">
        <w:fldChar w:fldCharType="end"/>
      </w:r>
      <w:r w:rsidR="00D00F78">
        <w:t xml:space="preserve">, for example, suggests that the </w:t>
      </w:r>
      <w:r w:rsidR="00B13C1C">
        <w:t>re</w:t>
      </w:r>
      <w:r w:rsidR="00D00F78">
        <w:t xml:space="preserve">combination of discoveries in electronic, crystal, and optics technologies resulted in the emergence of a completely new industry, </w:t>
      </w:r>
      <w:r w:rsidR="005456BF">
        <w:t>namely</w:t>
      </w:r>
      <w:r w:rsidR="00D00F78">
        <w:t xml:space="preserve"> optoelectronics.</w:t>
      </w:r>
      <w:r w:rsidR="00854F05">
        <w:t xml:space="preserve"> Knowledge recombination breadth is thus considered a key outcome in innovation and its importance for </w:t>
      </w:r>
      <w:r w:rsidR="00967DE8">
        <w:t>radical</w:t>
      </w:r>
      <w:r w:rsidR="00381260">
        <w:t xml:space="preserve"> creativity and</w:t>
      </w:r>
      <w:r w:rsidR="00854F05">
        <w:t xml:space="preserve"> innovation is undisputed.</w:t>
      </w:r>
    </w:p>
    <w:p w14:paraId="5C4F86D2" w14:textId="153CB954" w:rsidR="0039527A" w:rsidRDefault="0039527A" w:rsidP="005A2721">
      <w:r>
        <w:t>W</w:t>
      </w:r>
      <w:r w:rsidRPr="00BB17B5">
        <w:t xml:space="preserve">hether the presence of a female star </w:t>
      </w:r>
      <w:r>
        <w:t>affects</w:t>
      </w:r>
      <w:r w:rsidR="004C28BE">
        <w:t xml:space="preserve"> the breadth of</w:t>
      </w:r>
      <w:r w:rsidRPr="00BB17B5">
        <w:t xml:space="preserve"> knowledge recombination more positively o</w:t>
      </w:r>
      <w:r>
        <w:t>r</w:t>
      </w:r>
      <w:r w:rsidRPr="00BB17B5">
        <w:t xml:space="preserve"> negatively than the presence of a male star is not obvious. On the one hand, a large body of research</w:t>
      </w:r>
      <w:r>
        <w:t xml:space="preserve"> on status</w:t>
      </w:r>
      <w:r w:rsidRPr="00BB17B5">
        <w:t xml:space="preserve"> originating from sociology</w:t>
      </w:r>
      <w:r>
        <w:t xml:space="preserve"> </w:t>
      </w:r>
      <w:r w:rsidRPr="00BB17B5">
        <w:t>indicates that women are subject to discrimination</w:t>
      </w:r>
      <w:r>
        <w:t xml:space="preserve"> and</w:t>
      </w:r>
      <w:r w:rsidRPr="007D7BB5">
        <w:t xml:space="preserve"> </w:t>
      </w:r>
      <w:r w:rsidRPr="00763276">
        <w:t>experience status discount</w:t>
      </w:r>
      <w:r w:rsidRPr="002C5771">
        <w:t xml:space="preserve"> </w:t>
      </w:r>
      <w:r>
        <w:t xml:space="preserve">compared to men </w:t>
      </w:r>
      <w:r>
        <w:fldChar w:fldCharType="begin" w:fldLock="1"/>
      </w:r>
      <w:r w:rsidR="00814EAA">
        <w:instrText>ADDIN CSL_CITATION {"citationItems":[{"id":"ITEM-1","itemData":{"DOI":"10.1007/978-1-4757-2199-7_7","abstract":"... In same-sex groups, whether or not gender expectations are specifically activated, women's and men's differ - ent skills and ... Such a difference between the two theories' predictions can be seen most clearly when a mixed-sex group ... 7. Are Gender Differences Status Differences ? ... \\n","author":[{"dropping-particle":"","family":"Ridgeway","given":"Cecilia L.","non-dropping-particle":"","parse-names":false,"suffix":""},{"dropping-particle":"","family":"Diekema","given":"David","non-dropping-particle":"","parse-names":false,"suffix":""}],"container-title":"Gender, Interaction, and Inequality","id":"ITEM-1","issued":{"date-parts":[["1992"]]},"page":"157-180","title":"Are gender differences status differences?","type":"article-journal"},"uris":["http://www.mendeley.com/documents/?uuid=46ae0993-48d2-40b7-8854-e37131e80cbb"]},{"id":"ITEM-2","itemData":{"DOI":"10.2307/2580244","ISSN":"00377732","abstract":"This article describes micro-macro processes through which simple structural conditions cause a nominal characteristic such as gender or race to acquire independent status value. These conditions are sufficient but not necessary and may or may not be involved in the actual historical origin of a given characteristic's status value. The argument assumes that a nominal characteristic becomes correlated with a difference in exchangeable resources. Blau's (1977) structural theory specifies the effects of the distribution of resources and the nominal characteristic on the likely characteristics of interactants in encounters. Expectation-states theory describes the situational beliefs about worthiness that develop among the resulting types of interactants. I combine the two theories to show where the nominal characteristic is likely to be connected with such situational beliefs, how this connection is affected by transfer and diffusion among types of interactants, and how this process can produce consensual beliefs in the characteristic's status value.","author":[{"dropping-particle":"","family":"Ridgeway","given":"Cecilia","non-dropping-particle":"","parse-names":false,"suffix":""}],"container-title":"Social Forces","id":"ITEM-2","issue":"2","issued":{"date-parts":[["1991"]]},"page":"367","title":"The social construction of status value: gender and other nominal characteristics","type":"article-journal","volume":"70"},"uris":["http://www.mendeley.com/documents/?uuid=662811de-1ca5-4b6b-9579-0a0c8078ad1e"]}],"mendeley":{"formattedCitation":"(Ridgeway, 1991; Ridgeway &amp; Diekema, 1992)","plainTextFormattedCitation":"(Ridgeway, 1991; Ridgeway &amp; Diekema, 1992)","previouslyFormattedCitation":"(Ridgeway, 1991; Ridgeway &amp; Diekema, 1992)"},"properties":{"noteIndex":0},"schema":"https://github.com/citation-style-language/schema/raw/master/csl-citation.json"}</w:instrText>
      </w:r>
      <w:r>
        <w:fldChar w:fldCharType="separate"/>
      </w:r>
      <w:r w:rsidR="00814EAA" w:rsidRPr="00814EAA">
        <w:rPr>
          <w:noProof/>
        </w:rPr>
        <w:t>(Ridgeway, 1991; Ridgeway &amp; Diekema, 1992)</w:t>
      </w:r>
      <w:r>
        <w:fldChar w:fldCharType="end"/>
      </w:r>
      <w:r w:rsidR="00BB53CC">
        <w:t>. This discount</w:t>
      </w:r>
      <w:r w:rsidRPr="00BB17B5">
        <w:t xml:space="preserve"> may put a female star’s entire team at a disadvantage </w:t>
      </w:r>
      <w:r>
        <w:t>by reducing access to networks</w:t>
      </w:r>
      <w:r w:rsidR="00B441DB">
        <w:t xml:space="preserve">, </w:t>
      </w:r>
      <w:r>
        <w:t>resources</w:t>
      </w:r>
      <w:r w:rsidR="00B441DB">
        <w:t>, and</w:t>
      </w:r>
      <w:r w:rsidR="00545F66">
        <w:t>, consequently</w:t>
      </w:r>
      <w:r w:rsidR="0010201B">
        <w:t>,</w:t>
      </w:r>
      <w:r w:rsidR="00545F66">
        <w:t xml:space="preserve"> </w:t>
      </w:r>
      <w:r w:rsidR="00B441DB">
        <w:t xml:space="preserve">knowledge available for recombination </w:t>
      </w:r>
      <w:r w:rsidR="00B441DB">
        <w:fldChar w:fldCharType="begin" w:fldLock="1"/>
      </w:r>
      <w:r w:rsidR="00814EAA">
        <w:instrText>ADDIN CSL_CITATION {"citationItems":[{"id":"ITEM-1","itemData":{"DOI":"10.1287/orsc.2018.1223","ISSN":"15265455","abstract":"Creative stars make disproportionately influential contributions to their fields. Yet we know little about how an innovator's creative performance is affected by collaborating with stars. This paper studies the creative aspects of interpersonal collaboration from a distinct perspective: the quality of the collaborator. Both star and nonstar collaborators provide different benefits to a focal innovator. The innovator benefits from collaborating with nonstars because they may provide access to diverse information improving the outcome of the creative task at hand. In contrast, the focal innovator benefits from collaborating with stars because the focal innovator can also experience and learn from the star's superior set of creative synthesis skills (which integrate diverse, sometimes contradictory ideas into new coherent and holistic solutions) and, thus, build lasting creative capabilities. Building on theoretical arguments about those two different collaboration purposes, we first examine how a star collaboration (versus a nonstar collaboration) affects a comprehensive measure of an innovator's creativity: the likelihood of emerging as a star. Second, we examine how the different creative benefits of engaging with a star versus a nonstar collaborator affect the effect of two widely studied aspects of interpersonal collaboration on star emergence: social network cohesion and expertise similarity. In contrast to collaborations with nonstars, for which social cohesion and expertise similarity limit access to diverse information, negatively affecting star emergence, social network cohesion and expertise similarity have a decidedly positive effect on star collaborations by improving the transfer of the star's set of creative skills. Our empirical setting consists of designers who have been granted design patents in the United States from 1975 through 2010.","author":[{"dropping-particle":"","family":"Liu","given":"Haibo","non-dropping-particle":"","parse-names":false,"suffix":""},{"dropping-particle":"","family":"Mihm","given":"Jürgen","non-dropping-particle":"","parse-names":false,"suffix":""},{"dropping-particle":"","family":"Sosa","given":"Manuel E.","non-dropping-particle":"","parse-names":false,"suffix":""}],"container-title":"Organization Science","id":"ITEM-1","issue":"6","issued":{"date-parts":[["2019","10","1"]]},"page":"1149-1169","publisher":"INFORMS Inst.for Operations Res.and the Management Sciences","title":"Where do stars come from? The role of star vs. nonstar collaborators in creative settings","type":"article-journal","volume":"29"},"uris":["http://www.mendeley.com/documents/?uuid=03d0aa89-6fd2-3dd4-8e24-34ecc78b89ae"]},{"id":"ITEM-2","itemData":{"DOI":"10.5465/amr.2014.0462","ISSN":"03637425","abstract":"Interest has burgeoned, in recent years, in how social networks influence individual creativity and innovation. From both the theoretical and empirical points of view, this increased attention has generated many inconsistencies. In this article we propose that a conceptualization of the idea journey encompassing phases that the literature has so far overlooked can help solve existing tensions. We conceptualize four phases of the journey of an idea, from conception to completion: idea generation, idea elaboration, idea championing, and idea implementation. We propose that a creator has distinct primary needs in each phase: cognitive flexibility, support, influence, and shared vision, respectively. Individual creators successfully move through a phase when the relational and structural elements of their networks match the distinct needs of the phase. The relational and structural elements that are beneficial for one phase, however, are detrimental for another. We propose that in order to solve this seeming contradiction and the associated paradoxes, individual creators have to change interpretations and frames throughout the different phases. This, in turn, allows them to activate different network characteristics at the appropriate moment and successfully complete the idea journey from novel concept to a tangible outcome that changes the field.","author":[{"dropping-particle":"","family":"Perry-Smith","given":"Jill E.","non-dropping-particle":"","parse-names":false,"suffix":""},{"dropping-particle":"","family":"Mannucci","given":"Pier Vittorio","non-dropping-particle":"","parse-names":false,"suffix":""}],"container-title":"Academy of Management Review","id":"ITEM-2","issue":"1","issued":{"date-parts":[["2017"]]},"page":"53-79","title":"From creativity to innovation: The social network drivers of the four phases of the idea journey","type":"article-journal","volume":"42"},"uris":["http://www.mendeley.com/documents/?uuid=c3215693-6a58-4a37-b324-fa56d3e4bda9"]}],"mendeley":{"formattedCitation":"(Liu et al., 2019; Perry-Smith &amp; Mannucci, 2017)","plainTextFormattedCitation":"(Liu et al., 2019; Perry-Smith &amp; Mannucci, 2017)","previouslyFormattedCitation":"(Liu et al., 2019; Perry-Smith &amp; Mannucci, 2017)"},"properties":{"noteIndex":0},"schema":"https://github.com/citation-style-language/schema/raw/master/csl-citation.json"}</w:instrText>
      </w:r>
      <w:r w:rsidR="00B441DB">
        <w:fldChar w:fldCharType="separate"/>
      </w:r>
      <w:r w:rsidR="00814EAA" w:rsidRPr="00814EAA">
        <w:rPr>
          <w:noProof/>
        </w:rPr>
        <w:t>(Liu et al., 2019; Perry-Smith &amp; Mannucci, 2017)</w:t>
      </w:r>
      <w:r w:rsidR="00B441DB">
        <w:fldChar w:fldCharType="end"/>
      </w:r>
      <w:r w:rsidR="00B441DB">
        <w:t xml:space="preserve">. </w:t>
      </w:r>
      <w:r w:rsidRPr="00BB17B5">
        <w:t xml:space="preserve">On the other hand, findings in </w:t>
      </w:r>
      <w:r>
        <w:t xml:space="preserve">the discipline of </w:t>
      </w:r>
      <w:r w:rsidRPr="00BB17B5">
        <w:t xml:space="preserve">psychology suggest that gender differences </w:t>
      </w:r>
      <w:r w:rsidR="00A747D1">
        <w:t>in</w:t>
      </w:r>
      <w:r w:rsidR="00A747D1" w:rsidRPr="00BB17B5">
        <w:t xml:space="preserve"> </w:t>
      </w:r>
      <w:r w:rsidRPr="00BB17B5">
        <w:t>the</w:t>
      </w:r>
      <w:r w:rsidR="008A124E">
        <w:t xml:space="preserve"> </w:t>
      </w:r>
      <w:r w:rsidR="00D1581F">
        <w:t xml:space="preserve">perception, </w:t>
      </w:r>
      <w:r w:rsidRPr="00BB17B5">
        <w:t>characteristics</w:t>
      </w:r>
      <w:r w:rsidR="00F72B20">
        <w:t>,</w:t>
      </w:r>
      <w:r w:rsidR="008A124E">
        <w:t xml:space="preserve"> </w:t>
      </w:r>
      <w:r w:rsidR="00D1581F">
        <w:t xml:space="preserve">and </w:t>
      </w:r>
      <w:r w:rsidRPr="00BB17B5">
        <w:t>behavior</w:t>
      </w:r>
      <w:r w:rsidR="00D1581F">
        <w:t xml:space="preserve"> </w:t>
      </w:r>
      <w:r w:rsidRPr="00BB17B5">
        <w:t xml:space="preserve">of women and men </w:t>
      </w:r>
      <w:r>
        <w:fldChar w:fldCharType="begin" w:fldLock="1"/>
      </w:r>
      <w:r w:rsidR="00814EAA">
        <w:instrText>ADDIN CSL_CITATION {"citationItems":[{"id":"ITEM-1","itemData":{"DOI":"10.1037/0033-295X.109.3.573","ISSN":"0033295X","PMID":"12088246","abstract":"A role congruity theory of prejudice toward female leaders proposes that perceived incongruity between the female gender role and leadership roles leads to 2 forms of prejudice: (a) perceiving women less favorably than men as potential occupants of leadership roles and (b) evaluating behavior that fulfills the prescriptions of a leader role less favorably when it is enacted by a woman. One consequence is that attitudes are less positive toward female than male leaders and potential leaders. Other consequences are that it is more difficult for women to become leaders and to achieve success in leadership roles. Evidence from varied research paradigms substantiates that these consequences occur, especially in situations that heighten perceptions of incongruity between the female gender role and leadership roles.","author":[{"dropping-particle":"","family":"Eagly","given":"Alice H","non-dropping-particle":"","parse-names":false,"suffix":""},{"dropping-particle":"","family":"Karau","given":"Steven J","non-dropping-particle":"","parse-names":false,"suffix":""}],"container-title":"Psychological Review","id":"ITEM-1","issue":"3","issued":{"date-parts":[["2002"]]},"page":"573-598","title":"Role congruity theory of prejudice toward female leaders","type":"article-journal","volume":"109"},"uris":["http://www.mendeley.com/documents/?uuid=b9448799-2689-3017-a870-8b352a06f41f"]},{"id":"ITEM-2","itemData":{"author":[{"dropping-particle":"","family":"Eagly","given":"Alice H","non-dropping-particle":"","parse-names":false,"suffix":""}],"id":"ITEM-2","issued":{"date-parts":[["1987"]]},"publisher":"Lawrence Erlbaum","publisher-place":"Hillsdale, NJ","title":"Sex differences in social behavior: A social-role interpretation","type":"article"},"uris":["http://www.mendeley.com/documents/?uuid=05f90e5f-9bc9-370a-bb99-08aa1ef8ec6c"]}],"mendeley":{"formattedCitation":"(Eagly, 1987; Eagly &amp; Karau, 2002)","plainTextFormattedCitation":"(Eagly, 1987; Eagly &amp; Karau, 2002)","previouslyFormattedCitation":"(Eagly, 1987; Eagly &amp; Karau, 2002)"},"properties":{"noteIndex":0},"schema":"https://github.com/citation-style-language/schema/raw/master/csl-citation.json"}</w:instrText>
      </w:r>
      <w:r>
        <w:fldChar w:fldCharType="separate"/>
      </w:r>
      <w:r w:rsidR="00814EAA" w:rsidRPr="00814EAA">
        <w:rPr>
          <w:noProof/>
        </w:rPr>
        <w:t>(Eagly, 1987; Eagly &amp; Karau, 2002)</w:t>
      </w:r>
      <w:r>
        <w:fldChar w:fldCharType="end"/>
      </w:r>
      <w:r w:rsidRPr="00B70461">
        <w:t xml:space="preserve"> </w:t>
      </w:r>
      <w:r>
        <w:t xml:space="preserve">may facilitate team processes that are crucial for the successful </w:t>
      </w:r>
      <w:r w:rsidR="0046679C">
        <w:t>integration</w:t>
      </w:r>
      <w:r>
        <w:t xml:space="preserve"> of diverse knowledge components </w:t>
      </w:r>
      <w:r>
        <w:fldChar w:fldCharType="begin" w:fldLock="1"/>
      </w:r>
      <w:r w:rsidR="00814EAA">
        <w:instrText>ADDIN CSL_CITATION {"citationItems":[{"id":"ITEM-1","itemData":{"DOI":"10.5465/amr.2012.0224","ISSN":"03637425","abstract":"This article provides insight into how some groups achieve extraordinary levels of creativity by reconsidering the collective process through which new ideas develop. Previous research has been premised on a model in which idea generation stimulated by divergent input increases the variance in ideas a group generates and therefore increases the chance that one of the group's ideas will be a radical, breakthrough creative product. In contrast, I present a dialectical model in which the integration of group members' perspectives (which I label creative synthesis) is the foundation for new ideas. I propose that the process of creative synthesis improves the chance that each of a group's ideas is a breakthrough. I elaborate the process facilitators of creative synthesis and the implications of the dialectical model for understanding extraordinary group creativity. Creative synthesis provides an alternative way for groups to combine their cognitive, social, and environmental resources into extraordinary output. Copyright of the Academy of Management, all rights reserved.","author":[{"dropping-particle":"","family":"Harvey","given":"Sarah","non-dropping-particle":"","parse-names":false,"suffix":""}],"container-title":"Academy of Management Review","id":"ITEM-1","issue":"3","issued":{"date-parts":[["2014"]]},"page":"324-343","title":"Creative synthesis: Exploring the process of extraordinary group creativity","type":"article-journal","volume":"39"},"uris":["http://www.mendeley.com/documents/?uuid=17ddf7dd-ff59-478c-b46d-2fde89cd1cf4"]},{"id":"ITEM-2","itemData":{"DOI":"10.1287/orsc.2018.1223","ISSN":"15265455","abstract":"Creative stars make disproportionately influential contributions to their fields. Yet we know little about how an innovator's creative performance is affected by collaborating with stars. This paper studies the creative aspects of interpersonal collaboration from a distinct perspective: the quality of the collaborator. Both star and nonstar collaborators provide different benefits to a focal innovator. The innovator benefits from collaborating with nonstars because they may provide access to diverse information improving the outcome of the creative task at hand. In contrast, the focal innovator benefits from collaborating with stars because the focal innovator can also experience and learn from the star's superior set of creative synthesis skills (which integrate diverse, sometimes contradictory ideas into new coherent and holistic solutions) and, thus, build lasting creative capabilities. Building on theoretical arguments about those two different collaboration purposes, we first examine how a star collaboration (versus a nonstar collaboration) affects a comprehensive measure of an innovator's creativity: the likelihood of emerging as a star. Second, we examine how the different creative benefits of engaging with a star versus a nonstar collaborator affect the effect of two widely studied aspects of interpersonal collaboration on star emergence: social network cohesion and expertise similarity. In contrast to collaborations with nonstars, for which social cohesion and expertise similarity limit access to diverse information, negatively affecting star emergence, social network cohesion and expertise similarity have a decidedly positive effect on star collaborations by improving the transfer of the star's set of creative skills. Our empirical setting consists of designers who have been granted design patents in the United States from 1975 through 2010.","author":[{"dropping-particle":"","family":"Liu","given":"Haibo","non-dropping-particle":"","parse-names":false,"suffix":""},{"dropping-particle":"","family":"Mihm","given":"Jürgen","non-dropping-particle":"","parse-names":false,"suffix":""},{"dropping-particle":"","family":"Sosa","given":"Manuel E.","non-dropping-particle":"","parse-names":false,"suffix":""}],"container-title":"Organization Science","id":"ITEM-2","issue":"6","issued":{"date-parts":[["2019","10","1"]]},"page":"1149-1169","publisher":"INFORMS Inst.for Operations Res.and the Management Sciences","title":"Where do stars come from? The role of star vs. nonstar collaborators in creative settings","type":"article-journal","volume":"29"},"uris":["http://www.mendeley.com/documents/?uuid=03d0aa89-6fd2-3dd4-8e24-34ecc78b89ae"]}],"mendeley":{"formattedCitation":"(Harvey, 2014; Liu et al., 2019)","plainTextFormattedCitation":"(Harvey, 2014; Liu et al., 2019)","previouslyFormattedCitation":"(Harvey, 2014; Liu et al., 2019)"},"properties":{"noteIndex":0},"schema":"https://github.com/citation-style-language/schema/raw/master/csl-citation.json"}</w:instrText>
      </w:r>
      <w:r>
        <w:fldChar w:fldCharType="separate"/>
      </w:r>
      <w:r w:rsidR="00814EAA" w:rsidRPr="00814EAA">
        <w:rPr>
          <w:noProof/>
        </w:rPr>
        <w:t>(Harvey, 2014; Liu et al., 2019)</w:t>
      </w:r>
      <w:r>
        <w:fldChar w:fldCharType="end"/>
      </w:r>
      <w:r>
        <w:t xml:space="preserve">. </w:t>
      </w:r>
      <w:r w:rsidR="00EC542E">
        <w:t>We ai</w:t>
      </w:r>
      <w:r w:rsidRPr="00BB17B5">
        <w:t xml:space="preserve">m to investigate which of the two </w:t>
      </w:r>
      <w:r>
        <w:t>mechanisms may dominate</w:t>
      </w:r>
      <w:r w:rsidRPr="00BB17B5">
        <w:t xml:space="preserve">, </w:t>
      </w:r>
      <w:r>
        <w:t>i.e.,</w:t>
      </w:r>
      <w:r w:rsidRPr="00BB17B5">
        <w:t xml:space="preserve"> whether teams with a female star recombine knowledge more or less broadly than teams with a male star.</w:t>
      </w:r>
      <w:r>
        <w:t xml:space="preserve"> </w:t>
      </w:r>
    </w:p>
    <w:p w14:paraId="71F419C0" w14:textId="093735A4" w:rsidR="0039527A" w:rsidRDefault="00F00E3A" w:rsidP="005A2721">
      <w:r>
        <w:lastRenderedPageBreak/>
        <w:t>Integrating the sociological and psychological perspectives, w</w:t>
      </w:r>
      <w:r w:rsidR="00E70B41">
        <w:t>e</w:t>
      </w:r>
      <w:r w:rsidR="0039527A" w:rsidRPr="007C0F01">
        <w:t xml:space="preserve"> hypothesize </w:t>
      </w:r>
      <w:r>
        <w:t xml:space="preserve">that the breadth of knowledge recombination in </w:t>
      </w:r>
      <w:r w:rsidR="0039527A" w:rsidRPr="007C0F01">
        <w:t xml:space="preserve">teams should benefit more from the presence of a female </w:t>
      </w:r>
      <w:r>
        <w:t xml:space="preserve">than a </w:t>
      </w:r>
      <w:r w:rsidR="0039527A" w:rsidRPr="007C0F01">
        <w:t xml:space="preserve">male star. </w:t>
      </w:r>
      <w:r>
        <w:t>The c</w:t>
      </w:r>
      <w:r w:rsidR="0039527A" w:rsidRPr="007C0F01">
        <w:t>ombin</w:t>
      </w:r>
      <w:r>
        <w:t>ation of</w:t>
      </w:r>
      <w:r w:rsidR="0039527A" w:rsidRPr="007C0F01">
        <w:t xml:space="preserve"> knowledge </w:t>
      </w:r>
      <w:r>
        <w:t xml:space="preserve">elements </w:t>
      </w:r>
      <w:r w:rsidR="0039527A" w:rsidRPr="007C0F01">
        <w:t xml:space="preserve">across categories requires the ability to integrate diverse information, expertise and perspectives into a common creative output </w:t>
      </w:r>
      <w:r w:rsidR="0039527A" w:rsidRPr="007C0F01">
        <w:fldChar w:fldCharType="begin" w:fldLock="1"/>
      </w:r>
      <w:r w:rsidR="00814EAA">
        <w:instrText>ADDIN CSL_CITATION {"citationItems":[{"id":"ITEM-1","itemData":{"DOI":"10.5465/amr.2012.0224","ISSN":"03637425","abstract":"This article provides insight into how some groups achieve extraordinary levels of creativity by reconsidering the collective process through which new ideas develop. Previous research has been premised on a model in which idea generation stimulated by divergent input increases the variance in ideas a group generates and therefore increases the chance that one of the group's ideas will be a radical, breakthrough creative product. In contrast, I present a dialectical model in which the integration of group members' perspectives (which I label creative synthesis) is the foundation for new ideas. I propose that the process of creative synthesis improves the chance that each of a group's ideas is a breakthrough. I elaborate the process facilitators of creative synthesis and the implications of the dialectical model for understanding extraordinary group creativity. Creative synthesis provides an alternative way for groups to combine their cognitive, social, and environmental resources into extraordinary output. Copyright of the Academy of Management, all rights reserved.","author":[{"dropping-particle":"","family":"Harvey","given":"Sarah","non-dropping-particle":"","parse-names":false,"suffix":""}],"container-title":"Academy of Management Review","id":"ITEM-1","issue":"3","issued":{"date-parts":[["2014"]]},"page":"324-343","title":"Creative synthesis: Exploring the process of extraordinary group creativity","type":"article-journal","volume":"39"},"uris":["http://www.mendeley.com/documents/?uuid=17ddf7dd-ff59-478c-b46d-2fde89cd1cf4"]}],"mendeley":{"formattedCitation":"(Harvey, 2014)","plainTextFormattedCitation":"(Harvey, 2014)","previouslyFormattedCitation":"(Harvey, 2014)"},"properties":{"noteIndex":0},"schema":"https://github.com/citation-style-language/schema/raw/master/csl-citation.json"}</w:instrText>
      </w:r>
      <w:r w:rsidR="0039527A" w:rsidRPr="007C0F01">
        <w:fldChar w:fldCharType="separate"/>
      </w:r>
      <w:r w:rsidR="00814EAA" w:rsidRPr="00814EAA">
        <w:rPr>
          <w:noProof/>
        </w:rPr>
        <w:t>(Harvey, 2014)</w:t>
      </w:r>
      <w:r w:rsidR="0039527A" w:rsidRPr="007C0F01">
        <w:fldChar w:fldCharType="end"/>
      </w:r>
      <w:r>
        <w:t>. The integration of these elements</w:t>
      </w:r>
      <w:r w:rsidR="00361F27">
        <w:t>, which we expect to work better in teams with a female than a male star,</w:t>
      </w:r>
      <w:r w:rsidR="0039527A" w:rsidRPr="007C0F01">
        <w:t xml:space="preserve"> </w:t>
      </w:r>
      <w:r w:rsidR="008E4847">
        <w:t>should</w:t>
      </w:r>
      <w:r w:rsidR="0039527A" w:rsidRPr="007C0F01">
        <w:t xml:space="preserve"> benefit knowledge recombination breadth more than the mere availability of knowledge </w:t>
      </w:r>
      <w:r w:rsidR="0039527A" w:rsidRPr="007C0F01">
        <w:fldChar w:fldCharType="begin" w:fldLock="1"/>
      </w:r>
      <w:r w:rsidR="00814EAA">
        <w:instrText>ADDIN CSL_CITATION {"citationItems":[{"id":"ITEM-1","itemData":{"DOI":"10.1287/orsc.2018.1223","ISSN":"15265455","abstract":"Creative stars make disproportionately influential contributions to their fields. Yet we know little about how an innovator's creative performance is affected by collaborating with stars. This paper studies the creative aspects of interpersonal collaboration from a distinct perspective: the quality of the collaborator. Both star and nonstar collaborators provide different benefits to a focal innovator. The innovator benefits from collaborating with nonstars because they may provide access to diverse information improving the outcome of the creative task at hand. In contrast, the focal innovator benefits from collaborating with stars because the focal innovator can also experience and learn from the star's superior set of creative synthesis skills (which integrate diverse, sometimes contradictory ideas into new coherent and holistic solutions) and, thus, build lasting creative capabilities. Building on theoretical arguments about those two different collaboration purposes, we first examine how a star collaboration (versus a nonstar collaboration) affects a comprehensive measure of an innovator's creativity: the likelihood of emerging as a star. Second, we examine how the different creative benefits of engaging with a star versus a nonstar collaborator affect the effect of two widely studied aspects of interpersonal collaboration on star emergence: social network cohesion and expertise similarity. In contrast to collaborations with nonstars, for which social cohesion and expertise similarity limit access to diverse information, negatively affecting star emergence, social network cohesion and expertise similarity have a decidedly positive effect on star collaborations by improving the transfer of the star's set of creative skills. Our empirical setting consists of designers who have been granted design patents in the United States from 1975 through 2010.","author":[{"dropping-particle":"","family":"Liu","given":"Haibo","non-dropping-particle":"","parse-names":false,"suffix":""},{"dropping-particle":"","family":"Mihm","given":"Jürgen","non-dropping-particle":"","parse-names":false,"suffix":""},{"dropping-particle":"","family":"Sosa","given":"Manuel E.","non-dropping-particle":"","parse-names":false,"suffix":""}],"container-title":"Organization Science","id":"ITEM-1","issue":"6","issued":{"date-parts":[["2019","10","1"]]},"page":"1149-1169","publisher":"INFORMS Inst.for Operations Res.and the Management Sciences","title":"Where do stars come from? The role of star vs. nonstar collaborators in creative settings","type":"article-journal","volume":"29"},"uris":["http://www.mendeley.com/documents/?uuid=03d0aa89-6fd2-3dd4-8e24-34ecc78b89ae"]},{"id":"ITEM-2","itemData":{"DOI":"10.1287/orsc.1060.0200","ISSN":"10477039","abstract":"This paper introduces a model of collective creativity that explains how the locus of creative problem solving shifts, at times, from the individual to the interactions of a collective. The model is grounded in observations, interviews, informal conversations, and archival data gathered in intensive field studies of work in professional service firms. The evidence suggests that although some creative solutions can be seen as the products of individual insight, others should be regarded as the products of a momentary collective process. Such collective creativity reflects a qualitative shift in the nature of the creative process, as the comprehension of a problematic situation and the generation of creative solutions draw from - and reframe - the past experiences of participants in ways that lead to new and valuable insights. This research investigates the origins of such moments, and builds a model of collective creativity that identifies the precipitating roles played by four types of social interaction: help seeking, help giving, reflective refraining, and reinforcing. Implications of this research include shifting the emphasis in research and management of creativity from identifying and managing creative individuals to understanding the social context and developing interactive approaches to creativity, and from a focus on relatively constant contextual variables to the alignment of fluctuating variables and their precipitation of momentary phenomena. © 2006 INFORMS.","author":[{"dropping-particle":"","family":"Hargadon","given":"Andrew B.","non-dropping-particle":"","parse-names":false,"suffix":""},{"dropping-particle":"","family":"Bechky","given":"Beth A.","non-dropping-particle":"","parse-names":false,"suffix":""}],"container-title":"Organization Science","id":"ITEM-2","issue":"4","issued":{"date-parts":[["2006"]]},"page":"484-500","title":"When collections of creatives become creative collectives: A field study of problem solving at work","type":"article-journal","volume":"17"},"uris":["http://www.mendeley.com/documents/?uuid=5198b4ed-2b69-4254-9937-acc013bfe86e"]}],"mendeley":{"formattedCitation":"(Hargadon &amp; Bechky, 2006; Liu et al., 2019)","plainTextFormattedCitation":"(Hargadon &amp; Bechky, 2006; Liu et al., 2019)","previouslyFormattedCitation":"(Hargadon &amp; Bechky, 2006; Liu et al., 2019)"},"properties":{"noteIndex":0},"schema":"https://github.com/citation-style-language/schema/raw/master/csl-citation.json"}</w:instrText>
      </w:r>
      <w:r w:rsidR="0039527A" w:rsidRPr="007C0F01">
        <w:fldChar w:fldCharType="separate"/>
      </w:r>
      <w:r w:rsidR="00814EAA" w:rsidRPr="00814EAA">
        <w:rPr>
          <w:noProof/>
        </w:rPr>
        <w:t>(Hargadon &amp; Bechky, 2006; Liu et al., 2019)</w:t>
      </w:r>
      <w:r w:rsidR="0039527A" w:rsidRPr="007C0F01">
        <w:fldChar w:fldCharType="end"/>
      </w:r>
      <w:r w:rsidR="0039527A" w:rsidRPr="007C0F01">
        <w:t xml:space="preserve">. </w:t>
      </w:r>
      <w:r w:rsidR="00FF2355">
        <w:t>Further</w:t>
      </w:r>
      <w:r w:rsidR="003C51FD" w:rsidRPr="007C0F01">
        <w:t xml:space="preserve">, given that we look at stars, who are a special group of knowledge workers </w:t>
      </w:r>
      <w:r w:rsidR="00E70B41">
        <w:t>with</w:t>
      </w:r>
      <w:r w:rsidR="008804CD">
        <w:t xml:space="preserve"> exceptionally</w:t>
      </w:r>
      <w:r w:rsidR="00E70B41">
        <w:t xml:space="preserve"> high</w:t>
      </w:r>
      <w:r w:rsidR="008804CD">
        <w:t xml:space="preserve"> </w:t>
      </w:r>
      <w:r w:rsidR="003C51FD" w:rsidRPr="007C0F01">
        <w:t xml:space="preserve">productivity, gender differences in </w:t>
      </w:r>
      <w:r w:rsidR="00CB0C67">
        <w:t>access to external resources and knowledge</w:t>
      </w:r>
      <w:r w:rsidR="003C51FD" w:rsidRPr="007C0F01">
        <w:t xml:space="preserve"> are likely not as pronounced as </w:t>
      </w:r>
      <w:r w:rsidR="00E70B41">
        <w:t>might</w:t>
      </w:r>
      <w:r w:rsidR="003C51FD" w:rsidRPr="007C0F01">
        <w:t xml:space="preserve"> generally </w:t>
      </w:r>
      <w:r w:rsidR="00E70B41">
        <w:t xml:space="preserve">be </w:t>
      </w:r>
      <w:r w:rsidR="003C51FD" w:rsidRPr="007C0F01">
        <w:t xml:space="preserve">the case. </w:t>
      </w:r>
      <w:r w:rsidR="00257591" w:rsidRPr="007C0F01">
        <w:t xml:space="preserve">These factors should, on the whole, benefit knowledge recombination breadth </w:t>
      </w:r>
      <w:r w:rsidR="00D11E64">
        <w:t>i</w:t>
      </w:r>
      <w:r w:rsidR="00257591" w:rsidRPr="007C0F01">
        <w:t>n teams with female versus male stars.</w:t>
      </w:r>
      <w:r w:rsidR="00257591">
        <w:t xml:space="preserve"> </w:t>
      </w:r>
    </w:p>
    <w:p w14:paraId="1A777E27" w14:textId="6F64903B" w:rsidR="00D533A4" w:rsidRDefault="008804CD" w:rsidP="00D533A4">
      <w:r>
        <w:t>To investigate the research question</w:t>
      </w:r>
      <w:r w:rsidR="00040B1E">
        <w:t>, we look at</w:t>
      </w:r>
      <w:r w:rsidR="0039527A" w:rsidRPr="00BB17B5">
        <w:t xml:space="preserve"> US patent inventors. Inventors are highly representative of knowledge workers, since they</w:t>
      </w:r>
      <w:r w:rsidR="0039527A" w:rsidRPr="00BB17B5">
        <w:rPr>
          <w:iCs/>
        </w:rPr>
        <w:t xml:space="preserve"> </w:t>
      </w:r>
      <w:r w:rsidR="0039527A" w:rsidRPr="00BB17B5">
        <w:t xml:space="preserve">are directly involved in the </w:t>
      </w:r>
      <w:r w:rsidR="0039527A">
        <w:t>generation</w:t>
      </w:r>
      <w:r w:rsidR="0039527A" w:rsidRPr="00BB17B5">
        <w:t xml:space="preserve"> of new knowledge</w:t>
      </w:r>
      <w:r w:rsidR="0039527A">
        <w:t xml:space="preserve"> and represent a relatively homogenous group of employees engaged in creative tasks</w:t>
      </w:r>
      <w:r w:rsidR="0039527A" w:rsidRPr="00BB17B5">
        <w:t xml:space="preserve"> </w:t>
      </w:r>
      <w:r w:rsidR="0039527A" w:rsidRPr="0031029A">
        <w:fldChar w:fldCharType="begin" w:fldLock="1"/>
      </w:r>
      <w:r w:rsidR="00814EAA">
        <w:instrText>ADDIN CSL_CITATION {"citationItems":[{"id":"ITEM-1","itemData":{"DOI":"10.1007/978-1-349-15486-9_13","abstract":"INVENTION is here interpreted broadly as the production of know- ledge. From the viewpoint of welfare economics, the determination of optimal resource allocation for invention will depend on the tech- nological characteristics of the invention process and the nature of the market for knowledge.","author":[{"dropping-particle":"","family":"Arrow","given":"K. J.","non-dropping-particle":"","parse-names":false,"suffix":""}],"container-title":"Readings in Industrial Economics","editor":[{"dropping-particle":"","family":"Rowley","given":"Charles K.","non-dropping-particle":"","parse-names":false,"suffix":""}],"id":"ITEM-1","issued":{"date-parts":[["1972"]]},"page":"219-236","publisher":"Palgrave","publisher-place":"London, UK","title":"Economic welfare and the allocation of resources for invention","type":"chapter"},"uris":["http://www.mendeley.com/documents/?uuid=362d2b57-19b4-31c1-877e-7e6514685ff4"]},{"id":"ITEM-2","itemData":{"author":[{"dropping-particle":"","family":"Drucker","given":"Peter F","non-dropping-particle":"","parse-names":false,"suffix":""}],"id":"ITEM-2","issued":{"date-parts":[["1999"]]},"publisher":"HarperBusiness","publisher-place":"New York, NY","title":"Management challenges for the 21st century","type":"book"},"uris":["http://www.mendeley.com/documents/?uuid=f522ff51-8274-3f02-a1ab-eaa0d16ec441"]},{"id":"ITEM-3","itemData":{"DOI":"10.1287/mnsc.2015.2357","ISSN":"15265501","abstract":"This study examines differences in income and job performance between women and men in creative, highly skilled jobs tasked with achieving technological inventions. By building on data pertaining to 9,692 inventors from 23 countries, this study shows that female inventors represent only 4.2% of total inventors, and they earn about 14% less than their male peers. The gap persists even when controlling for sources of heterogeneity, the selection of inventors into types of jobs and tasks, and potential parenthood, instrumented by exploiting a source of variation related to religious practices. The income gap is not associated with differences in the quality of the inventions that female and male inventors produce. Thus, even in this human capital-intensive profession, where capabilities and education are important assets, and productivity differentials can be observed, women earn less than men, though they contribute to the development of high-quality inventions as much as men do","author":[{"dropping-particle":"","family":"Hoisl","given":"Karin","non-dropping-particle":"","parse-names":false,"suffix":""},{"dropping-particle":"","family":"Mariani","given":"Myriam","non-dropping-particle":"","parse-names":false,"suffix":""}],"container-title":"Management Science","id":"ITEM-3","issue":"3","issued":{"date-parts":[["2017"]]},"page":"766-790","title":"It's a man's job: Income and the gender gap in industrial research","type":"article-journal","volume":"63"},"uris":["http://www.mendeley.com/documents/?uuid=e0a8b5c9-c200-40cd-9811-8feb3c98f15f"]}],"mendeley":{"formattedCitation":"(Arrow, 1972; Drucker, 1999; Hoisl &amp; Mariani, 2017)","plainTextFormattedCitation":"(Arrow, 1972; Drucker, 1999; Hoisl &amp; Mariani, 2017)","previouslyFormattedCitation":"(Arrow, 1972; Drucker, 1999; Hoisl &amp; Mariani, 2017)"},"properties":{"noteIndex":0},"schema":"https://github.com/citation-style-language/schema/raw/master/csl-citation.json"}</w:instrText>
      </w:r>
      <w:r w:rsidR="0039527A" w:rsidRPr="0031029A">
        <w:fldChar w:fldCharType="separate"/>
      </w:r>
      <w:r w:rsidR="00814EAA" w:rsidRPr="00814EAA">
        <w:rPr>
          <w:noProof/>
        </w:rPr>
        <w:t>(Arrow, 1972; Drucker, 1999; Hoisl &amp; Mariani, 2017)</w:t>
      </w:r>
      <w:r w:rsidR="0039527A" w:rsidRPr="0031029A">
        <w:fldChar w:fldCharType="end"/>
      </w:r>
      <w:r w:rsidR="0039527A" w:rsidRPr="00BB17B5">
        <w:t xml:space="preserve">. Our dataset consists of patents filed </w:t>
      </w:r>
      <w:r w:rsidR="0039527A">
        <w:t xml:space="preserve">by inventor teams </w:t>
      </w:r>
      <w:r w:rsidR="0039527A" w:rsidRPr="00BB17B5">
        <w:t xml:space="preserve">at the US patent office in the period of 1990-2010. We follow the literature and identify star knowledge workers based on their exceptional individual inventive performance (e.g., </w:t>
      </w:r>
      <w:r w:rsidR="0039527A">
        <w:fldChar w:fldCharType="begin" w:fldLock="1"/>
      </w:r>
      <w:r w:rsidR="00814EAA">
        <w:instrText>ADDIN CSL_CITATION {"citationItems":[{"id":"ITEM-1","itemData":{"ISSN":"0149-2063","author":[{"dropping-particle":"","family":"Tzabbar","given":"Daniel","non-dropping-particle":"","parse-names":false,"suffix":""},{"dropping-particle":"","family":"Kehoe","given":"Rebecca R.","non-dropping-particle":"","parse-names":false,"suffix":""}],"container-title":"Journal of Management","id":"ITEM-1","issue":"2","issued":{"date-parts":[["2014","2","21"]]},"page":"449-482","title":"Can opportunity emerge from disarray? An examination of exploration and exploitation following star scientist turnover","type":"article-journal","volume":"40"},"uris":["http://www.mendeley.com/documents/?uuid=a0fd0ca0-6742-3f26-ac53-9ca3b2a55be2"]}],"mendeley":{"formattedCitation":"(Tzabbar &amp; Kehoe, 2014)","manualFormatting":"Tzabbar &amp; Kehoe, 2014)","plainTextFormattedCitation":"(Tzabbar &amp; Kehoe, 2014)","previouslyFormattedCitation":"(Tzabbar &amp; Kehoe, 2014)"},"properties":{"noteIndex":0},"schema":"https://github.com/citation-style-language/schema/raw/master/csl-citation.json"}</w:instrText>
      </w:r>
      <w:r w:rsidR="0039527A">
        <w:fldChar w:fldCharType="separate"/>
      </w:r>
      <w:r w:rsidR="0039527A" w:rsidRPr="00BB17B5">
        <w:rPr>
          <w:noProof/>
        </w:rPr>
        <w:t>Tzabbar &amp; Kehoe, 2014)</w:t>
      </w:r>
      <w:r w:rsidR="0039527A">
        <w:fldChar w:fldCharType="end"/>
      </w:r>
      <w:r w:rsidR="0039527A" w:rsidRPr="00BB17B5">
        <w:t xml:space="preserve">. </w:t>
      </w:r>
      <w:r>
        <w:t>W</w:t>
      </w:r>
      <w:r w:rsidR="0039527A" w:rsidRPr="00BB17B5">
        <w:t>e extract patents</w:t>
      </w:r>
      <w:r w:rsidR="0039527A">
        <w:t xml:space="preserve"> of teams</w:t>
      </w:r>
      <w:r w:rsidR="0039527A" w:rsidRPr="00BB17B5">
        <w:t xml:space="preserve"> that involved </w:t>
      </w:r>
      <w:r w:rsidR="00BD4D2B">
        <w:t xml:space="preserve">these </w:t>
      </w:r>
      <w:r w:rsidR="0039527A" w:rsidRPr="00BB17B5">
        <w:t>star inventors</w:t>
      </w:r>
      <w:r w:rsidR="00BD4D2B">
        <w:t xml:space="preserve"> and </w:t>
      </w:r>
      <w:r w:rsidR="0039527A">
        <w:t>match teams</w:t>
      </w:r>
      <w:r w:rsidR="0039527A" w:rsidRPr="00FB0D9F">
        <w:t xml:space="preserve"> involving a female star to </w:t>
      </w:r>
      <w:r w:rsidR="0039527A">
        <w:t xml:space="preserve">similar teams involving a </w:t>
      </w:r>
      <w:r w:rsidR="0039527A" w:rsidRPr="00FB0D9F">
        <w:t>male star</w:t>
      </w:r>
      <w:r w:rsidR="0039527A">
        <w:t xml:space="preserve"> </w:t>
      </w:r>
      <w:r w:rsidR="00BD4D2B">
        <w:t>using</w:t>
      </w:r>
      <w:r w:rsidR="0039527A">
        <w:t xml:space="preserve"> </w:t>
      </w:r>
      <w:r w:rsidR="002F2B7D">
        <w:t>c</w:t>
      </w:r>
      <w:r w:rsidR="0039527A">
        <w:t xml:space="preserve">oarsened </w:t>
      </w:r>
      <w:r w:rsidR="002F2B7D">
        <w:t>e</w:t>
      </w:r>
      <w:r w:rsidR="0039527A">
        <w:t xml:space="preserve">xact </w:t>
      </w:r>
      <w:r w:rsidR="002F2B7D">
        <w:t>m</w:t>
      </w:r>
      <w:r w:rsidR="0039527A">
        <w:t>atching (CEM)</w:t>
      </w:r>
      <w:r w:rsidR="00BD4D2B">
        <w:t xml:space="preserve">. Finally, we </w:t>
      </w:r>
      <w:r w:rsidR="0039527A">
        <w:t>compare</w:t>
      </w:r>
      <w:r w:rsidR="0039527A" w:rsidRPr="00FB0D9F">
        <w:t xml:space="preserve"> </w:t>
      </w:r>
      <w:r w:rsidR="0039527A">
        <w:t xml:space="preserve">how broadly the teams recombine </w:t>
      </w:r>
      <w:r w:rsidR="0039527A" w:rsidRPr="00FB0D9F">
        <w:t xml:space="preserve">knowledge </w:t>
      </w:r>
      <w:r w:rsidR="0039527A">
        <w:t>across</w:t>
      </w:r>
      <w:r w:rsidR="0039527A" w:rsidRPr="00FB0D9F">
        <w:t xml:space="preserve"> technological </w:t>
      </w:r>
      <w:r w:rsidR="0039527A">
        <w:t>boundaries in their patented inventions</w:t>
      </w:r>
      <w:r w:rsidR="00161E30">
        <w:t>,</w:t>
      </w:r>
      <w:r w:rsidR="0039527A">
        <w:t xml:space="preserve"> </w:t>
      </w:r>
      <w:r w:rsidR="0039527A" w:rsidRPr="00BB17B5">
        <w:t>us</w:t>
      </w:r>
      <w:r w:rsidR="0039527A">
        <w:t>ing knowledge recombination</w:t>
      </w:r>
      <w:r w:rsidR="0039527A" w:rsidRPr="00BB17B5">
        <w:t xml:space="preserve"> breadth as our dependent variable </w:t>
      </w:r>
      <w:r w:rsidR="0039527A" w:rsidRPr="0031029A">
        <w:fldChar w:fldCharType="begin" w:fldLock="1"/>
      </w:r>
      <w:r w:rsidR="00814EAA">
        <w:instrText>ADDIN CSL_CITATION {"citationItems":[{"id":"ITEM-1","itemData":{"DOI":"10.1287/mnsc.1120.1572","ISSN":"00251909","abstract":"Building on the seminal work of Thomas J. Allen, we contribute to the emerging microlevel theory of knowledge recombination by examining how individual-level characteristics of inventors affect the breadth of their technological recombinations. Our data set combines information from 30,550 European patents with matched survey data obtained from 1,880 inventors. The analysis supports the view that inventors with a scientific education are more likely to generate patents that span technological boundaries (in our case, 30 broad, toplevel technological domains) than inventors with an engineering degree. A doctoral degree is associated with increased recombination breadth for all groups of inventors. The breadth of an inventor's technological recombinations diminishes with increasing temporal distance to his education, but the differences between scientists and engineers persist over time. Our findings provide several new insights for research on inventors, the literature on organizational learning and innovation, and strategy research. © 2013 INFORMS.","author":[{"dropping-particle":"","family":"Gruber","given":"Marc","non-dropping-particle":"","parse-names":false,"suffix":""},{"dropping-particle":"","family":"Harhoff","given":"Dietmar","non-dropping-particle":"","parse-names":false,"suffix":""},{"dropping-particle":"","family":"Hoisl","given":"Karin","non-dropping-particle":"","parse-names":false,"suffix":""}],"container-title":"Management Science","id":"ITEM-1","issue":"4","issued":{"date-parts":[["2013","4"]]},"page":"837-851","title":"Knowledge recombination across technological boundaries: Scientists vs. engineers","type":"article-journal","volume":"59"},"uris":["http://www.mendeley.com/documents/?uuid=8e6c08dc-cb34-3fcb-bd16-219229187839"]},{"id":"ITEM-2","itemData":{"author":[{"dropping-particle":"","family":"Lerner","given":"Joshua","non-dropping-particle":"","parse-names":false,"suffix":""}],"container-title":"The RAND Journal of Economics","id":"ITEM-2","issue":"2","issued":{"date-parts":[["1994"]]},"page":"319-333","title":"The importance of patent scope: An empirical analysis","type":"article-journal","volume":"25"},"uris":["http://www.mendeley.com/documents/?uuid=8c23e5b1-ff4d-341a-bd1f-925ef176281f"]}],"mendeley":{"formattedCitation":"(Gruber, Harhoff, &amp; Hoisl, 2013; Lerner, 1994)","manualFormatting":"(Gruber et al., 2013)","plainTextFormattedCitation":"(Gruber, Harhoff, &amp; Hoisl, 2013; Lerner, 1994)","previouslyFormattedCitation":"(Gruber, Harhoff, &amp; Hoisl, 2013; Lerner, 1994)"},"properties":{"noteIndex":0},"schema":"https://github.com/citation-style-language/schema/raw/master/csl-citation.json"}</w:instrText>
      </w:r>
      <w:r w:rsidR="0039527A" w:rsidRPr="0031029A">
        <w:fldChar w:fldCharType="separate"/>
      </w:r>
      <w:r w:rsidR="0039527A" w:rsidRPr="00B43EF4">
        <w:rPr>
          <w:noProof/>
        </w:rPr>
        <w:t>(Gruber et al., 2013)</w:t>
      </w:r>
      <w:r w:rsidR="0039527A" w:rsidRPr="0031029A">
        <w:fldChar w:fldCharType="end"/>
      </w:r>
      <w:r>
        <w:t xml:space="preserve"> and the team as our level of analysis</w:t>
      </w:r>
      <w:r w:rsidR="0039527A" w:rsidRPr="00BB17B5">
        <w:t>.</w:t>
      </w:r>
      <w:r w:rsidR="00BD4D2B">
        <w:t xml:space="preserve"> We employ several robustness checks including an instrumental variable approach</w:t>
      </w:r>
      <w:r w:rsidR="00C521EC">
        <w:t xml:space="preserve"> and </w:t>
      </w:r>
      <w:r w:rsidR="00BD4D2B">
        <w:t>alternative dependent variables</w:t>
      </w:r>
      <w:r w:rsidR="00C521EC">
        <w:t xml:space="preserve"> to verify </w:t>
      </w:r>
      <w:r w:rsidR="00361F27">
        <w:t>our</w:t>
      </w:r>
      <w:r w:rsidR="00C521EC">
        <w:t xml:space="preserve"> results </w:t>
      </w:r>
      <w:r w:rsidR="00361F27">
        <w:lastRenderedPageBreak/>
        <w:t>and</w:t>
      </w:r>
      <w:r w:rsidR="00C521EC">
        <w:t xml:space="preserve"> test</w:t>
      </w:r>
      <w:r w:rsidR="00BD4D2B">
        <w:t xml:space="preserve"> a moderation model </w:t>
      </w:r>
      <w:r w:rsidR="00C521EC">
        <w:t>to provide preliminary evidence in support of</w:t>
      </w:r>
      <w:r w:rsidR="00BD4D2B">
        <w:t xml:space="preserve"> our theoretical arguments.</w:t>
      </w:r>
      <w:r w:rsidR="00D533A4">
        <w:t xml:space="preserve"> </w:t>
      </w:r>
      <w:r w:rsidR="00741971">
        <w:t xml:space="preserve">We find robust empirical </w:t>
      </w:r>
      <w:r w:rsidR="00361F27">
        <w:t xml:space="preserve">evidence suggesting </w:t>
      </w:r>
      <w:r w:rsidR="00741971">
        <w:t xml:space="preserve">that teams with female stars combine knowledge more broadly than teams with male stars. </w:t>
      </w:r>
    </w:p>
    <w:p w14:paraId="02317A65" w14:textId="1F9F6E53" w:rsidR="00913D98" w:rsidRDefault="0039527A">
      <w:r w:rsidRPr="00BB17B5">
        <w:t xml:space="preserve">Our </w:t>
      </w:r>
      <w:r w:rsidR="00741971">
        <w:t>research</w:t>
      </w:r>
      <w:r w:rsidRPr="00BB17B5">
        <w:t xml:space="preserve"> </w:t>
      </w:r>
      <w:r>
        <w:t>contributes to the</w:t>
      </w:r>
      <w:r w:rsidRPr="00BB17B5">
        <w:t xml:space="preserve"> theoretical understand</w:t>
      </w:r>
      <w:r>
        <w:t xml:space="preserve">ing of the role played by stars in </w:t>
      </w:r>
      <w:r w:rsidR="00CD4713">
        <w:t xml:space="preserve">the creation of </w:t>
      </w:r>
      <w:r>
        <w:t xml:space="preserve">knowledge in teams in three ways. </w:t>
      </w:r>
      <w:r w:rsidRPr="00AE5392">
        <w:t xml:space="preserve">First, we examine how a distinct star characteristic, i.e., </w:t>
      </w:r>
      <w:r w:rsidR="005B1BF6" w:rsidRPr="00AE5392">
        <w:t xml:space="preserve">the star’s </w:t>
      </w:r>
      <w:r w:rsidRPr="00AE5392">
        <w:t xml:space="preserve">gender, influences the extent to which teams benefit from the presence of stars. While existing </w:t>
      </w:r>
      <w:r w:rsidR="005B1BF6" w:rsidRPr="00AE5392">
        <w:t xml:space="preserve">research </w:t>
      </w:r>
      <w:r w:rsidR="00D11E64">
        <w:t>on</w:t>
      </w:r>
      <w:r w:rsidRPr="00AE5392">
        <w:t xml:space="preserve"> star performers is largely built around male stars, we </w:t>
      </w:r>
      <w:r w:rsidR="00EC5B35">
        <w:t xml:space="preserve">examine </w:t>
      </w:r>
      <w:r w:rsidRPr="00AE5392">
        <w:t xml:space="preserve">gender differences that may impact how the beneficial and adverse effects of stars documented by prior literature manifest in the creation of knowledge. Second, we attempt to resolve a contradiction emerging from the literatures on status and </w:t>
      </w:r>
      <w:r w:rsidR="008A124E">
        <w:t>findings in the discipline of psychology</w:t>
      </w:r>
      <w:r w:rsidRPr="00AE5392">
        <w:t xml:space="preserve">, to </w:t>
      </w:r>
      <w:r w:rsidR="003E1D1E">
        <w:t>theorize</w:t>
      </w:r>
      <w:r w:rsidR="003E1D1E" w:rsidRPr="00AE5392">
        <w:t xml:space="preserve"> </w:t>
      </w:r>
      <w:r w:rsidRPr="00AE5392">
        <w:t xml:space="preserve">how gender differences between stars may impact the availability and </w:t>
      </w:r>
      <w:r w:rsidR="008F2235">
        <w:t>integration</w:t>
      </w:r>
      <w:r w:rsidRPr="00AE5392">
        <w:t xml:space="preserve"> of diverse knowledge in teams. Third, we </w:t>
      </w:r>
      <w:r w:rsidR="00E551BC" w:rsidRPr="00AE5392">
        <w:t>extend literature on the social perspective o</w:t>
      </w:r>
      <w:r w:rsidR="00D11E64">
        <w:t>n</w:t>
      </w:r>
      <w:r w:rsidR="00E551BC" w:rsidRPr="00AE5392">
        <w:t xml:space="preserve"> creativity</w:t>
      </w:r>
      <w:r w:rsidR="001E7E3A" w:rsidRPr="00AE5392">
        <w:t xml:space="preserve"> and </w:t>
      </w:r>
      <w:r w:rsidR="00D11E64" w:rsidRPr="00AE5392">
        <w:t>knowledge</w:t>
      </w:r>
      <w:r w:rsidR="00D11E64">
        <w:t xml:space="preserve"> </w:t>
      </w:r>
      <w:r w:rsidR="00165B04">
        <w:t>creation</w:t>
      </w:r>
      <w:r w:rsidR="002D1F1E">
        <w:t xml:space="preserve">, by </w:t>
      </w:r>
      <w:r w:rsidR="001E7E3A" w:rsidRPr="00AE5392">
        <w:t>show</w:t>
      </w:r>
      <w:r w:rsidR="002D1F1E">
        <w:t>ing</w:t>
      </w:r>
      <w:r w:rsidR="00E551BC" w:rsidRPr="00AE5392">
        <w:t xml:space="preserve"> that team members’ collaborations with female and male stars are likely to produce </w:t>
      </w:r>
      <w:r w:rsidR="00E3494C" w:rsidRPr="00AE5392">
        <w:t>different</w:t>
      </w:r>
      <w:r w:rsidR="00E551BC" w:rsidRPr="00AE5392">
        <w:t xml:space="preserve"> knowledge outcomes</w:t>
      </w:r>
      <w:r w:rsidR="000E357B">
        <w:t xml:space="preserve"> </w:t>
      </w:r>
      <w:r w:rsidR="00E3494C" w:rsidRPr="00AE5392">
        <w:t>due to differences in how team members communicate and interact with female and male stars</w:t>
      </w:r>
      <w:r w:rsidR="001E7E3A" w:rsidRPr="00AE5392">
        <w:t>.</w:t>
      </w:r>
      <w:r w:rsidR="00E551BC" w:rsidRPr="00C925AC">
        <w:t xml:space="preserve"> </w:t>
      </w:r>
      <w:bookmarkStart w:id="1" w:name="_Hlk33806887"/>
    </w:p>
    <w:bookmarkEnd w:id="1"/>
    <w:p w14:paraId="3F312997" w14:textId="77777777" w:rsidR="0039527A" w:rsidRPr="008E1644" w:rsidRDefault="0039527A" w:rsidP="00292634">
      <w:pPr>
        <w:pStyle w:val="Heading1"/>
      </w:pPr>
      <w:r w:rsidRPr="00FC3F82">
        <w:t>theoretical background and hypothesis</w:t>
      </w:r>
    </w:p>
    <w:p w14:paraId="5C1568D6" w14:textId="1CF04A99" w:rsidR="0039527A" w:rsidRPr="001B4B83" w:rsidRDefault="0039527A" w:rsidP="001E6427">
      <w:pPr>
        <w:pStyle w:val="Heading2"/>
      </w:pPr>
      <w:r w:rsidRPr="001B4B83">
        <w:t>The role of stars in</w:t>
      </w:r>
      <w:r w:rsidR="00257C59">
        <w:t xml:space="preserve"> the recombination of</w:t>
      </w:r>
      <w:r w:rsidRPr="001B4B83">
        <w:t xml:space="preserve"> knowledge </w:t>
      </w:r>
      <w:r w:rsidR="00257C59">
        <w:t>in teams</w:t>
      </w:r>
    </w:p>
    <w:p w14:paraId="7862CEDB" w14:textId="373556EE" w:rsidR="00253FD3" w:rsidRDefault="006075E8" w:rsidP="005A2721">
      <w:pPr>
        <w:rPr>
          <w:iCs/>
        </w:rPr>
      </w:pPr>
      <w:r>
        <w:t>R</w:t>
      </w:r>
      <w:r w:rsidR="0039527A">
        <w:t xml:space="preserve">ecombination of existing knowledge and ideas is a critical part of </w:t>
      </w:r>
      <w:r w:rsidR="00642FC1">
        <w:t>knowledge</w:t>
      </w:r>
      <w:r w:rsidR="00F71462">
        <w:t xml:space="preserve"> creation </w:t>
      </w:r>
      <w:r w:rsidR="0039527A">
        <w:t xml:space="preserve">in </w:t>
      </w:r>
      <w:r w:rsidR="00642FC1">
        <w:t>organi</w:t>
      </w:r>
      <w:r w:rsidR="00642FC1" w:rsidRPr="00642FC1">
        <w:t>z</w:t>
      </w:r>
      <w:r w:rsidR="00642FC1">
        <w:t>ations</w:t>
      </w:r>
      <w:r w:rsidR="0039527A">
        <w:t xml:space="preserve"> </w:t>
      </w:r>
      <w:r w:rsidR="0039527A">
        <w:fldChar w:fldCharType="begin" w:fldLock="1"/>
      </w:r>
      <w:r w:rsidR="00814EAA">
        <w:instrText>ADDIN CSL_CITATION {"citationItems":[{"id":"ITEM-1","itemData":{"author":[{"dropping-particle":"","family":"Nelson","given":"Richard R.","non-dropping-particle":"","parse-names":false,"suffix":""},{"dropping-particle":"","family":"Winter","given":"S. G.","non-dropping-particle":"","parse-names":false,"suffix":""}],"id":"ITEM-1","issued":{"date-parts":[["1982"]]},"publisher":"Harvard University Press","publisher-place":"Cambridge, MA","title":"An evolutionary theory of economic change.","type":"book"},"uris":["http://www.mendeley.com/documents/?uuid=643afbd5-6afa-4d3d-a3dd-6181811fe3b2"]},{"id":"ITEM-2","itemData":{"DOI":"10.1287/mnsc.47.1.117.10671","ISSN":"00251909","abstract":"While the course of technological change is widely accepted to be highly uncertain and unpredictable, little work has identified or studied the ultimate sources and causes of that uncertainty. This paper proposes that purely technological uncertainty derives from inventors' search processes with unfamiliar components and component combinations. Experimentation with new components and new combinations leads to less useful inventions on average, but it also implies an increase in the variability that can result in both failure and breakthrough. Negative binomial count and dispersion models with patent citation data demonstrate that new combinations are indeed more variable. In contrast to predictions, however, the reuse of components has a nonmonotonic and eventually positive effect on variability.","author":[{"dropping-particle":"","family":"Fleming","given":"Lee","non-dropping-particle":"","parse-names":false,"suffix":""}],"container-title":"Management Science","id":"ITEM-2","issue":"1","issued":{"date-parts":[["2001"]]},"page":"117-132","publisher":"INFORMS Inst.for Operations Res.and the Management Sciences","title":"Recombinant uncertainty in technological search","type":"article-journal","volume":"47"},"uris":["http://www.mendeley.com/documents/?uuid=238d9ee0-76b2-33a4-9c79-4699dd83083a"]},{"id":"ITEM-3","itemData":{"abstract":"The article reviews the book \"The Theory of Economic Development,\" by Joseph A. Schumpeter.","author":[{"dropping-particle":"","family":"Schumpeter","given":"Joseph A","non-dropping-particle":"","parse-names":false,"suffix":""}],"container-title":"The Theory of Economic Development","id":"ITEM-3","issued":{"date-parts":[["1934"]]},"publisher":"Harvard University Press","publisher-place":"Cambridge, MA","title":"The theory of economic development","type":"book"},"uris":["http://www.mendeley.com/documents/?uuid=c7684f60-d599-468f-989c-07e589039fbb"]}],"mendeley":{"formattedCitation":"(Fleming, 2001; Nelson &amp; Winter, 1982; Schumpeter, 1934a)","manualFormatting":"(Fleming, 2001; Nelson &amp; Winters, 1982; Schumpeter, 1934)","plainTextFormattedCitation":"(Fleming, 2001; Nelson &amp; Winter, 1982; Schumpeter, 1934a)","previouslyFormattedCitation":"(Fleming, 2001; Nelson &amp; Winter, 1982; Schumpeter, 1934a)"},"properties":{"noteIndex":0},"schema":"https://github.com/citation-style-language/schema/raw/master/csl-citation.json"}</w:instrText>
      </w:r>
      <w:r w:rsidR="0039527A">
        <w:fldChar w:fldCharType="separate"/>
      </w:r>
      <w:r w:rsidR="0039527A" w:rsidRPr="00353E3A">
        <w:rPr>
          <w:noProof/>
        </w:rPr>
        <w:t>(Fleming, 2001; Nelson &amp; Winters, 1982; Schumpeter, 1934)</w:t>
      </w:r>
      <w:r w:rsidR="0039527A">
        <w:fldChar w:fldCharType="end"/>
      </w:r>
      <w:r w:rsidR="0039527A">
        <w:t xml:space="preserve">. </w:t>
      </w:r>
      <w:r w:rsidR="0039527A" w:rsidRPr="00FC3F82">
        <w:t>K</w:t>
      </w:r>
      <w:r w:rsidR="0039527A" w:rsidRPr="00FC3F82">
        <w:rPr>
          <w:iCs/>
        </w:rPr>
        <w:t xml:space="preserve">nowledge </w:t>
      </w:r>
      <w:r w:rsidR="0039527A">
        <w:rPr>
          <w:iCs/>
        </w:rPr>
        <w:t>recombination</w:t>
      </w:r>
      <w:r w:rsidR="0039527A" w:rsidRPr="00FC3F82">
        <w:rPr>
          <w:iCs/>
        </w:rPr>
        <w:t xml:space="preserve"> comprises the development of new intellectual capital</w:t>
      </w:r>
      <w:r w:rsidR="0039527A">
        <w:rPr>
          <w:iCs/>
        </w:rPr>
        <w:t xml:space="preserve"> by exchanging and integrating knowledge</w:t>
      </w:r>
      <w:r w:rsidR="00253FD3">
        <w:rPr>
          <w:iCs/>
        </w:rPr>
        <w:t xml:space="preserve"> elements</w:t>
      </w:r>
      <w:r w:rsidR="0039527A">
        <w:rPr>
          <w:iCs/>
        </w:rPr>
        <w:t xml:space="preserve">, for instance, in the form of concepts, artefacts, perspectives and ideas </w:t>
      </w:r>
      <w:r w:rsidR="0039527A">
        <w:rPr>
          <w:iCs/>
        </w:rPr>
        <w:fldChar w:fldCharType="begin" w:fldLock="1"/>
      </w:r>
      <w:r w:rsidR="00814EAA">
        <w:rPr>
          <w:iCs/>
        </w:rPr>
        <w:instrText>ADDIN CSL_CITATION {"citationItems":[{"id":"ITEM-1","itemData":{"abstract":"Given assumptions about the characteristics of knowledge and the knowledge requirements of production, the firm is conceptualized as an institution for integrating knowledge. The primary contribution of the paper is in exploring the coordination mechanisms through which firms integrate the specialist knowledge of their members. In contrast to earlier literature, knowledge is viewed as residing within the individual, and the primary role of the organization is knowledge application rather than knowledge creation. The resulting theory has implications for the basis of organizational capability, the principles of organization design (in particular, the analysis of hierarchy and the distribution of decision-making authority), and the determinants of the horizontal and vertical boundaries of the firm. More generally, the knowledge-based approach sheds new light upon current organizational innovations and trends and has far-reaching implications for management practice.","author":[{"dropping-particle":"","family":"Grant","given":"Robert M","non-dropping-particle":"","parse-names":false,"suffix":""}],"container-title":"Strategic Management Journal","id":"ITEM-1","issue":"Special Issue","issued":{"date-parts":[["1991"]]},"page":"109–22","title":"Toward a knowledge-based theory of the firm","type":"article-journal","volume":"17"},"uris":["http://www.mendeley.com/documents/?uuid=4d4baf74-6ba4-4c30-92c1-a17d829ee1be"]},{"id":"ITEM-2","itemData":{"author":[{"dropping-particle":"","family":"Nahapiet","given":"Janine","non-dropping-particle":"","parse-names":false,"suffix":""},{"dropping-particle":"","family":"Ghoshal","given":"Sumantra","non-dropping-particle":"","parse-names":false,"suffix":""}],"container-title":"Academy of Management Review","id":"ITEM-2","issue":"2","issued":{"date-parts":[["1998"]]},"page":"242-266","title":"Social capital, intellectual capital, and the organizational advantage","type":"article-journal","volume":"23"},"uris":["http://www.mendeley.com/documents/?uuid=2c13786a-2fcc-4255-bb80-5d84ff2069b0"]}],"mendeley":{"formattedCitation":"(Grant, 1991; Nahapiet &amp; Ghoshal, 1998)","plainTextFormattedCitation":"(Grant, 1991; Nahapiet &amp; Ghoshal, 1998)","previouslyFormattedCitation":"(Grant, 1991; Nahapiet &amp; Ghoshal, 1998)"},"properties":{"noteIndex":0},"schema":"https://github.com/citation-style-language/schema/raw/master/csl-citation.json"}</w:instrText>
      </w:r>
      <w:r w:rsidR="0039527A">
        <w:rPr>
          <w:iCs/>
        </w:rPr>
        <w:fldChar w:fldCharType="separate"/>
      </w:r>
      <w:r w:rsidR="00814EAA" w:rsidRPr="00814EAA">
        <w:rPr>
          <w:iCs/>
          <w:noProof/>
        </w:rPr>
        <w:t>(Grant, 1991; Nahapiet &amp; Ghoshal, 1998)</w:t>
      </w:r>
      <w:r w:rsidR="0039527A">
        <w:rPr>
          <w:iCs/>
        </w:rPr>
        <w:fldChar w:fldCharType="end"/>
      </w:r>
      <w:r w:rsidR="0039527A" w:rsidRPr="00FC3F82">
        <w:rPr>
          <w:iCs/>
        </w:rPr>
        <w:t xml:space="preserve">. </w:t>
      </w:r>
      <w:r w:rsidR="0039527A">
        <w:rPr>
          <w:iCs/>
        </w:rPr>
        <w:t xml:space="preserve">Recombining knowledge across boundaries can be conducive to increasing the quality and impact of an </w:t>
      </w:r>
      <w:r w:rsidR="0039527A">
        <w:rPr>
          <w:iCs/>
        </w:rPr>
        <w:lastRenderedPageBreak/>
        <w:t xml:space="preserve">invention </w:t>
      </w:r>
      <w:r w:rsidR="0039527A">
        <w:rPr>
          <w:iCs/>
        </w:rPr>
        <w:fldChar w:fldCharType="begin" w:fldLock="1"/>
      </w:r>
      <w:r w:rsidR="00814EAA">
        <w:rPr>
          <w:iCs/>
        </w:rPr>
        <w:instrText>ADDIN CSL_CITATION {"citationItems":[{"id":"ITEM-1","itemData":{"author":[{"dropping-particle":"","family":"Nerkar","given":"Atul","non-dropping-particle":"","parse-names":false,"suffix":""}],"container-title":"Management Science","id":"ITEM-1","issue":"2","issued":{"date-parts":[["2003"]]},"page":"211-229","title":"Old is gold? The value of temporal exploration in the creation of new knowledge","type":"article-journal","volume":"49"},"uris":["http://www.mendeley.com/documents/?uuid=0c48ab5b-a92f-48c3-a5b1-e5902ca67ca9"]},{"id":"ITEM-2","itemData":{"DOI":"10.1287/orsc.2016.1106","ISSN":"15265455","abstract":"Theories of innovation and technical change posit that inventions that combine knowledge across technology domains have greater impact than inventions drawn from a single domain. The evidence for this claim comes mostly from research on patented inventions and ignores failed patent applications. We draw on insights from research into institutional gatekeeping to theorize that, to be granted, patent applications that span technological domains must have higher quality than otherwise comparable, narrower applications. Using data on failed and successful patent applications, we estimate an integrated, two-stage model that accounts for this differential selection. We find that more domain-spanning patent applications are less likely to be approved, and that controlling for this differential selection reduces the estimated effect of knowledge recombination on innovative impact by about one-third. By conceptualizing the patent-approval process as a form of institutional gatekeeping, this paper highlights the institutional underpinnings of and constraints on the innovation process.","author":[{"dropping-particle":"","family":"Ferguson","given":"John Paul","non-dropping-particle":"","parse-names":false,"suffix":""},{"dropping-particle":"","family":"Carnabuci","given":"Gianluca","non-dropping-particle":"","parse-names":false,"suffix":""}],"container-title":"Organization Science","id":"ITEM-2","issue":"1","issued":{"date-parts":[["2017"]]},"page":"133-151","title":"Risky recombinations: Institutional gatekeeping in the innovation process","type":"article-journal","volume":"28"},"uris":["http://www.mendeley.com/documents/?uuid=f2e488f4-c5f1-4091-8f79-1beb6975ff7c"]},{"id":"ITEM-3","itemData":{"DOI":"10.1287/mnsc.47.1.117.10671","ISSN":"00251909","abstract":"While the course of technological change is widely accepted to be highly uncertain and unpredictable, little work has identified or studied the ultimate sources and causes of that uncertainty. This paper proposes that purely technological uncertainty derives from inventors' search processes with unfamiliar components and component combinations. Experimentation with new components and new combinations leads to less useful inventions on average, but it also implies an increase in the variability that can result in both failure and breakthrough. Negative binomial count and dispersion models with patent citation data demonstrate that new combinations are indeed more variable. In contrast to predictions, however, the reuse of components has a nonmonotonic and eventually positive effect on variability.","author":[{"dropping-particle":"","family":"Fleming","given":"Lee","non-dropping-particle":"","parse-names":false,"suffix":""}],"container-title":"Management Science","id":"ITEM-3","issue":"1","issued":{"date-parts":[["2001"]]},"page":"117-132","publisher":"INFORMS Inst.for Operations Res.and the Management Sciences","title":"Recombinant uncertainty in technological search","type":"article-journal","volume":"47"},"uris":["http://www.mendeley.com/documents/?uuid=238d9ee0-76b2-33a4-9c79-4699dd83083a"]}],"mendeley":{"formattedCitation":"(Ferguson &amp; Carnabuci, 2017; Fleming, 2001; Nerkar, 2003)","plainTextFormattedCitation":"(Ferguson &amp; Carnabuci, 2017; Fleming, 2001; Nerkar, 2003)","previouslyFormattedCitation":"(Ferguson &amp; Carnabuci, 2017; Fleming, 2001; Nerkar, 2003)"},"properties":{"noteIndex":0},"schema":"https://github.com/citation-style-language/schema/raw/master/csl-citation.json"}</w:instrText>
      </w:r>
      <w:r w:rsidR="0039527A">
        <w:rPr>
          <w:iCs/>
        </w:rPr>
        <w:fldChar w:fldCharType="separate"/>
      </w:r>
      <w:r w:rsidR="00814EAA" w:rsidRPr="00814EAA">
        <w:rPr>
          <w:iCs/>
          <w:noProof/>
        </w:rPr>
        <w:t>(Ferguson &amp; Carnabuci, 2017; Fleming, 2001; Nerkar, 2003)</w:t>
      </w:r>
      <w:r w:rsidR="0039527A">
        <w:rPr>
          <w:iCs/>
        </w:rPr>
        <w:fldChar w:fldCharType="end"/>
      </w:r>
      <w:r w:rsidR="004B2BE1">
        <w:rPr>
          <w:iCs/>
        </w:rPr>
        <w:t>.</w:t>
      </w:r>
      <w:r w:rsidR="0039527A">
        <w:rPr>
          <w:iCs/>
        </w:rPr>
        <w:t xml:space="preserve"> </w:t>
      </w:r>
      <w:r w:rsidR="004B2BE1">
        <w:rPr>
          <w:iCs/>
        </w:rPr>
        <w:t>C</w:t>
      </w:r>
      <w:r w:rsidR="0039527A">
        <w:rPr>
          <w:iCs/>
        </w:rPr>
        <w:t xml:space="preserve">reative outputs that combine distant knowledge have been shown to possess greater potential </w:t>
      </w:r>
      <w:r w:rsidR="00047AE2">
        <w:rPr>
          <w:iCs/>
        </w:rPr>
        <w:t>for</w:t>
      </w:r>
      <w:r w:rsidR="0039527A">
        <w:rPr>
          <w:iCs/>
        </w:rPr>
        <w:t xml:space="preserve"> creat</w:t>
      </w:r>
      <w:r w:rsidR="00047AE2">
        <w:rPr>
          <w:iCs/>
        </w:rPr>
        <w:t>ing</w:t>
      </w:r>
      <w:r w:rsidR="0039527A">
        <w:rPr>
          <w:iCs/>
        </w:rPr>
        <w:t xml:space="preserve"> competitive advantage</w:t>
      </w:r>
      <w:r w:rsidR="0039527A" w:rsidRPr="001B3242">
        <w:rPr>
          <w:iCs/>
        </w:rPr>
        <w:t xml:space="preserve"> and driv</w:t>
      </w:r>
      <w:r w:rsidR="00047AE2">
        <w:rPr>
          <w:iCs/>
        </w:rPr>
        <w:t>ing</w:t>
      </w:r>
      <w:r w:rsidR="0039527A" w:rsidRPr="001B3242">
        <w:rPr>
          <w:iCs/>
        </w:rPr>
        <w:t xml:space="preserve"> varied applications </w:t>
      </w:r>
      <w:r w:rsidR="0039527A" w:rsidRPr="001B3242">
        <w:rPr>
          <w:iCs/>
        </w:rPr>
        <w:fldChar w:fldCharType="begin" w:fldLock="1"/>
      </w:r>
      <w:r w:rsidR="00814EAA">
        <w:rPr>
          <w:iCs/>
        </w:rPr>
        <w:instrText>ADDIN CSL_CITATION {"citationItems":[{"id":"ITEM-1","itemData":{"author":[{"dropping-particle":"","family":"Nerkar","given":"Atul","non-dropping-particle":"","parse-names":false,"suffix":""}],"container-title":"Management Science","id":"ITEM-1","issue":"2","issued":{"date-parts":[["2003"]]},"page":"211-229","title":"Old is gold? The value of temporal exploration in the creation of new knowledge","type":"article-journal","volume":"49"},"uris":["http://www.mendeley.com/documents/?uuid=0c48ab5b-a92f-48c3-a5b1-e5902ca67ca9"]}],"mendeley":{"formattedCitation":"(Nerkar, 2003)","plainTextFormattedCitation":"(Nerkar, 2003)","previouslyFormattedCitation":"(Nerkar, 2003)"},"properties":{"noteIndex":0},"schema":"https://github.com/citation-style-language/schema/raw/master/csl-citation.json"}</w:instrText>
      </w:r>
      <w:r w:rsidR="0039527A" w:rsidRPr="001B3242">
        <w:rPr>
          <w:iCs/>
        </w:rPr>
        <w:fldChar w:fldCharType="separate"/>
      </w:r>
      <w:r w:rsidR="00814EAA" w:rsidRPr="00814EAA">
        <w:rPr>
          <w:iCs/>
          <w:noProof/>
        </w:rPr>
        <w:t>(Nerkar, 2003)</w:t>
      </w:r>
      <w:r w:rsidR="0039527A" w:rsidRPr="001B3242">
        <w:rPr>
          <w:iCs/>
        </w:rPr>
        <w:fldChar w:fldCharType="end"/>
      </w:r>
      <w:r w:rsidR="0039527A" w:rsidRPr="001B3242">
        <w:rPr>
          <w:iCs/>
        </w:rPr>
        <w:t xml:space="preserve">. </w:t>
      </w:r>
    </w:p>
    <w:p w14:paraId="71DAC88B" w14:textId="3F296829" w:rsidR="00253FD3" w:rsidRPr="00136596" w:rsidRDefault="0039527A" w:rsidP="002744E8">
      <w:pPr>
        <w:rPr>
          <w:iCs/>
        </w:rPr>
      </w:pPr>
      <w:r w:rsidRPr="001B3242">
        <w:rPr>
          <w:iCs/>
        </w:rPr>
        <w:t>In teams</w:t>
      </w:r>
      <w:r>
        <w:rPr>
          <w:iCs/>
        </w:rPr>
        <w:t xml:space="preserve">, the breadth of knowledge recombination can increase </w:t>
      </w:r>
      <w:r w:rsidR="006A29ED">
        <w:rPr>
          <w:iCs/>
        </w:rPr>
        <w:t xml:space="preserve">both </w:t>
      </w:r>
      <w:r>
        <w:rPr>
          <w:iCs/>
        </w:rPr>
        <w:t xml:space="preserve">when team members possess </w:t>
      </w:r>
      <w:r w:rsidR="00365FD2">
        <w:rPr>
          <w:iCs/>
        </w:rPr>
        <w:t xml:space="preserve">and </w:t>
      </w:r>
      <w:r w:rsidR="008F2235">
        <w:rPr>
          <w:iCs/>
        </w:rPr>
        <w:t>have access to</w:t>
      </w:r>
      <w:r w:rsidR="00365FD2">
        <w:rPr>
          <w:iCs/>
        </w:rPr>
        <w:t xml:space="preserve"> </w:t>
      </w:r>
      <w:r w:rsidRPr="00BC3F47">
        <w:t>heterogenous knowledge</w:t>
      </w:r>
      <w:r>
        <w:t xml:space="preserve"> bases</w:t>
      </w:r>
      <w:r w:rsidR="00642FC1">
        <w:t xml:space="preserve"> </w:t>
      </w:r>
      <w:r w:rsidR="00642FC1">
        <w:fldChar w:fldCharType="begin" w:fldLock="1"/>
      </w:r>
      <w:r w:rsidR="00814EAA">
        <w:instrText>ADDIN CSL_CITATION {"citationItems":[{"id":"ITEM-1","itemData":{"DOI":"10.1287/mnsc.1090.1072","ISSN":"00251909","abstract":"Are lone inventors more or less likely to invent breakthroughs? Recent research has attempted to resolve this question by considering the variance of creative outcome distributions. It has implicitly assumed a symmetric thickening or thinning of both tails, i.e., that a greater probability of breakthroughs comes at the cost of a greater probability of failures. In contrast, we propose that collaboration can have opposite effects at the two extremes: it reduces the probability of very poor outcomes-because of more rigorous selection processes-while simultaneously increasing the probability of extremely successful outcomes-because of greater recombinant opportunity in creative search. Analysis of over half a million patented inventions supports these arguments: Individuals working alone, especially those without affiliation to organizations, are less likely to achieve breakthroughs and more likely to invent particularly poor outcomes. Quantile regressions demonstrate that the effect is more than an upward mean shift. We find partial mediation of the effect of collaboration on extreme outcomes by the diversity of technical experience of team members and by the size of team members' external collaboration networks. Supporting our meta-argument for the importance of examining each tail of the distribution separately, experience diversity helps trim poor outcomes significantly more than it helps create breakthroughs, relative to the effect of external networks. © 2010 INFORMS.","author":[{"dropping-particle":"","family":"Singh","given":"Jasjit","non-dropping-particle":"","parse-names":false,"suffix":""},{"dropping-particle":"","family":"Fleming","given":"Lee","non-dropping-particle":"","parse-names":false,"suffix":""}],"container-title":"Management Science","id":"ITEM-1","issue":"1","issued":{"date-parts":[["2010","1"]]},"page":"41-56","title":"Lone inventors as sources of breakthroughs: Myth or reality?","type":"article-journal","volume":"56"},"uris":["http://www.mendeley.com/documents/?uuid=78f44798-6e53-3a0d-aa32-58bccd811b39"]}],"mendeley":{"formattedCitation":"(Singh &amp; Fleming, 2010)","plainTextFormattedCitation":"(Singh &amp; Fleming, 2010)","previouslyFormattedCitation":"(Singh &amp; Fleming, 2010)"},"properties":{"noteIndex":0},"schema":"https://github.com/citation-style-language/schema/raw/master/csl-citation.json"}</w:instrText>
      </w:r>
      <w:r w:rsidR="00642FC1">
        <w:fldChar w:fldCharType="separate"/>
      </w:r>
      <w:r w:rsidR="00814EAA" w:rsidRPr="00814EAA">
        <w:rPr>
          <w:noProof/>
        </w:rPr>
        <w:t>(Singh &amp; Fleming, 2010)</w:t>
      </w:r>
      <w:r w:rsidR="00642FC1">
        <w:fldChar w:fldCharType="end"/>
      </w:r>
      <w:r w:rsidR="00642FC1">
        <w:t xml:space="preserve">, </w:t>
      </w:r>
      <w:r>
        <w:t xml:space="preserve">and </w:t>
      </w:r>
      <w:r w:rsidR="00253FD3">
        <w:t xml:space="preserve">when </w:t>
      </w:r>
      <w:r w:rsidRPr="00BC3F47">
        <w:t>team processes function in way</w:t>
      </w:r>
      <w:r>
        <w:t>s</w:t>
      </w:r>
      <w:r w:rsidRPr="00BC3F47">
        <w:t xml:space="preserve"> that facilitate the integration o</w:t>
      </w:r>
      <w:r>
        <w:t xml:space="preserve">f such </w:t>
      </w:r>
      <w:r w:rsidRPr="00BC3F47">
        <w:t>diverse knowledge</w:t>
      </w:r>
      <w:r w:rsidR="008F2235">
        <w:t xml:space="preserve"> through exchanges, synthesis, and cross-fertilization</w:t>
      </w:r>
      <w:r w:rsidRPr="00BC3F47">
        <w:t xml:space="preserve"> </w:t>
      </w:r>
      <w:r>
        <w:fldChar w:fldCharType="begin" w:fldLock="1"/>
      </w:r>
      <w:r w:rsidR="00814EAA">
        <w:instrText>ADDIN CSL_CITATION {"citationItems":[{"id":"ITEM-1","itemData":{"DOI":"10.1287/orsc.2013.0878","ISSN":"1047-7039","author":[{"dropping-particle":"","family":"Baer","given":"Markus","non-dropping-particle":"","parse-names":false,"suffix":""},{"dropping-particle":"","family":"Vadera","given":"Abhijeet K.","non-dropping-particle":"","parse-names":false,"suffix":""},{"dropping-particle":"","family":"Leenders","given":"Roger T. A. J.","non-dropping-particle":"","parse-names":false,"suffix":""},{"dropping-particle":"","family":"Oldham","given":"Greg R.","non-dropping-particle":"","parse-names":false,"suffix":""}],"container-title":"Organization Science","id":"ITEM-1","issue":"3","issued":{"date-parts":[["2014","6"]]},"page":"892-908","title":"Intergroup competition as a double-edged sword: How sex composition regulates the effects of competition on group creativity","type":"article-journal","volume":"25"},"uris":["http://www.mendeley.com/documents/?uuid=f73b842f-8e9f-3ed9-8904-437c16ccfb61"]},{"id":"ITEM-2","itemData":{"DOI":"10.1177/0093650205285366","ISSN":"00936502","abstract":"In this study, the authors investigate the relationships between team communication styles and job-related cognitions on one hand and knowledge-sharing attitudes and behaviors on the other using 424 members of different work-related teams. Both eagerness and willingness to share are positively related to knowledge sharing - both donating and collecting knowledge. These attitudes mediate the relationships of communication styles, job satisfaction, and performance beliefs with knowledge-collecting and donating behaviors. In terms of team communication styles, an agreeable style is positively related to team members' willingness to share their knowledge, whereas an extravert communication style of a team is positively related to both eagerness and willingness to share. Performance beliefs and job satisfaction are both related to willingness and eagerness to share knowledge. However, in contrast with the authors' expectations, the relationship between eagerness to share knowledge and knowledge donating is not stronger than the one between eagerness and knowledge collecting. © 2006 Sage Publications.","author":[{"dropping-particle":"","family":"Vries","given":"Reinout E.","non-dropping-particle":"De","parse-names":false,"suffix":""},{"dropping-particle":"","family":"Hooff","given":"Bart","non-dropping-particle":"Van Den","parse-names":false,"suffix":""},{"dropping-particle":"","family":"Ridder","given":"Jan A.","non-dropping-particle":"De","parse-names":false,"suffix":""}],"container-title":"Communication Research","id":"ITEM-2","issue":"2","issued":{"date-parts":[["2006"]]},"page":"115-135","title":"Explaining knowledge sharing: The role of team communication styles, job satisfaction, and performance beliefs","type":"article-journal","volume":"33"},"uris":["http://www.mendeley.com/documents/?uuid=21ee2143-99f2-419c-b8ba-d2e8b27c8fd6"]},{"id":"ITEM-3","itemData":{"ISBN":"0198033605","abstract":"Creativity often leads to the development of original ideas that are useful or influential, and maintaining creativity is crucial for the continued development of organizations in particular and society in general. Most research and writing has focused on individual creativity. Yet, in recent years there has been an increasing acknowledgment of the importance of the social and contextual factors in creativity. Even with the information explosion and the growing necessity for specialization, the development of innovations still requires group interaction at various stages in the creative process. Most organizations increasingly rely on the work of creative teams where each individual is an expert in a particular area. This volume summarizes the exciting new research developments on the processes involved in group creativity and innovation, and explores the relationship between group processes, group context, and creativity. It draws from a broad range of research perspectives, including those investigating cognition, groups, creativity, information systems, and organizational psychology. These different perspectives have been brought together in one volume in order to focus attention on this developing literature and its implications for theory and application. The chapters in this volume are organized into two sections. The first focuses on how group decision making is affected by factors such as cognitive fixation and flexibility, group diversity, minority dissent, group decision-making, brainstorming, and group support systems. Special attention is devoted to the various processes and conditions that can inhibit or facilitate group creativity. The second section explores how various contextual and environmental factors affect the creative processes of groups. The chapters explore issues of group autonomy, group socialization, mentoring, team innovation, knowledge transfer, and creativity at the level of cultures and societies. The research presented in this section makes it clear that a full understanding of group creativity cannot be accomplished without adequate attention to the group environment. It will be a useful source of information for scholars, practitioners, and students wishing to understand and facilitate group creativity.","author":[{"dropping-particle":"","family":"Paulus","given":"Paul B","non-dropping-particle":"","parse-names":false,"suffix":""},{"dropping-particle":"","family":"Nijstad","given":"Bernard A","non-dropping-particle":"","parse-names":false,"suffix":""}],"container-title":"Group creativity: Innovation through collaboration.","id":"ITEM-3","issued":{"date-parts":[["2003"]]},"number-of-pages":"368","publisher":"Oxford University Press","publisher-place":"New York, NY","title":"Group Creativity : Innovation through Collaboration: Innovation through Collaboration (Google eBook)","type":"book"},"uris":["http://www.mendeley.com/documents/?uuid=5263b281-2808-3761-8cc9-49ed3580a67f"]},{"id":"ITEM-4","itemData":{"DOI":"10.1037/0021-9010.89.6.1008","ISSN":"00219010","PMID":"15584838","abstract":"Research on the relationship between work group diversity and performance has yielded inconsistent results. To address this problem, the authors propose the categorization-elaboration model (CEM), which reconceptualizes and integrates information/decision making and social categorization perspectives on work-group diversity and performance. The CEM incorporates mediator and moderator variables that typically have been ignored in diversity research and incorporates the view that information/decision making and social categorization processes interact such that intergroup biases flowing from social categorization disrupt the elaboration (in-depth processing) of task-relevant information and perspectives. In addition, the authors propose that attempts to link the positive and negative effects of diversity to specific types of diversity should be abandoned in favor of the assumption that all dimensions of diversity may have positive as well as negative effects. The ways in whi</w:instrText>
      </w:r>
      <w:r w:rsidR="00814EAA" w:rsidRPr="00E47FD7">
        <w:rPr>
          <w:lang w:val="de-DE"/>
        </w:rPr>
        <w:instrText>ch these propositions may set the agenda for future research in diversity are discussed.","author":[{"dropping-particle":"","family":"Knippenberg","given":"Daan","non-dropping-particle":"Van","parse-names":false,"suffix":""},{"dropping-particle":"","family":"Dreu","given":"Carsten K.W.","non-dropping-particle":"De","parse-names":false,"suffix":""},{"dropping-particle":"","family":"Homan","given":"Astrid C.","non-dropping-particle":"","parse-names":false,"suffix":""}],"container-title":"Journal of Applied Psychology","id":"ITEM-4","issue":"6","issued":{"date-parts":[["2004","12"]]},"page":"1008-1022","title":"Work group diversity and group performance: An integrative model and research agenda","type":"article-journal","volume":"89"},"uris":["http://www.mendeley.com/documents/?uuid=6ab39ebb-2720-38e4-b850-c9739cae31cb"]}],"mendeley":{"formattedCitation":"(Baer, Vadera, Leenders, &amp; Oldham, 2014; De Vries, Van Den Hooff, &amp; De Ridder, 2006; Paulus &amp; Nijstad, 2003; Van Knippenberg, De Dreu, &amp; Homan, 2004)","plainTextFormattedCitation":"(Baer, Vadera, Leenders, &amp; Oldham, 2014; De Vries, Van Den Hooff, &amp; De Ridder, 2006; Paulus &amp; Nijstad, 2003; Van Knippenberg, De Dreu, &amp; Homan, 2004)","previouslyFormattedCitation":"(Baer, Vadera, Leenders, &amp; Oldham, 2014; De Vries, Van Den Hooff, &amp; De Ridder, 2006; Paulus &amp; Nijstad, 2003; Van Knippenberg, De Dreu, &amp; Homan, 2004)"},"properties":{"noteIndex":0},"schema":"https://github.com/citation-style-language/schema/raw/master/csl-citation.json"}</w:instrText>
      </w:r>
      <w:r>
        <w:fldChar w:fldCharType="separate"/>
      </w:r>
      <w:r w:rsidR="00814EAA" w:rsidRPr="00814EAA">
        <w:rPr>
          <w:noProof/>
          <w:lang w:val="de-DE"/>
        </w:rPr>
        <w:t>(Baer, Vadera, Leenders, &amp; Oldham, 2014; De Vries, Van Den Hooff, &amp; De Ridder, 2006; Paulus &amp; Nijstad, 2003; Van Knippenberg, De Dreu, &amp; Homan, 2004)</w:t>
      </w:r>
      <w:r>
        <w:fldChar w:fldCharType="end"/>
      </w:r>
      <w:r w:rsidRPr="002744E8">
        <w:rPr>
          <w:iCs/>
          <w:lang w:val="de-DE"/>
        </w:rPr>
        <w:t xml:space="preserve">. </w:t>
      </w:r>
      <w:r w:rsidRPr="00136596">
        <w:rPr>
          <w:iCs/>
        </w:rPr>
        <w:t xml:space="preserve">This implies that </w:t>
      </w:r>
      <w:r>
        <w:rPr>
          <w:iCs/>
        </w:rPr>
        <w:t xml:space="preserve">a team’s capacity to recombine knowledge depends on both the overall knowledge stock </w:t>
      </w:r>
      <w:r w:rsidR="00DD7F01">
        <w:rPr>
          <w:iCs/>
        </w:rPr>
        <w:t>available</w:t>
      </w:r>
      <w:r>
        <w:rPr>
          <w:iCs/>
        </w:rPr>
        <w:t xml:space="preserve"> to the team, as well as the team processes that allow members to effectively </w:t>
      </w:r>
      <w:r w:rsidR="00DD7F01">
        <w:rPr>
          <w:iCs/>
        </w:rPr>
        <w:t>integrate</w:t>
      </w:r>
      <w:r>
        <w:rPr>
          <w:iCs/>
        </w:rPr>
        <w:t xml:space="preserve"> the </w:t>
      </w:r>
      <w:r w:rsidR="00572B65">
        <w:rPr>
          <w:iCs/>
        </w:rPr>
        <w:t xml:space="preserve">available </w:t>
      </w:r>
      <w:r>
        <w:rPr>
          <w:iCs/>
        </w:rPr>
        <w:t xml:space="preserve">information </w:t>
      </w:r>
      <w:r>
        <w:rPr>
          <w:iCs/>
        </w:rPr>
        <w:fldChar w:fldCharType="begin" w:fldLock="1"/>
      </w:r>
      <w:r w:rsidR="00814EAA">
        <w:rPr>
          <w:iCs/>
        </w:rPr>
        <w:instrText>ADDIN CSL_CITATION {"citationItems":[{"id":"ITEM-1","itemData":{"author":[{"dropping-particle":"","family":"Faraj","given":"Samer","non-dropping-particle":"","parse-names":false,"suffix":""},{"dropping-particle":"","family":"Xiao","given":"Yan","non-dropping-particle":"","parse-names":false,"suffix":""}],"container-title":"Management science","id":"ITEM-1","issue":"8","issued":{"date-parts":[["2006"]]},"page":"1155-1169","title":"Coordination in fast-response organizations","type":"article-journal","volume":"52"},"uris":["http://www.mendeley.com/documents/?uuid=36d29bc4-57ac-4ee3-9ab1-a19ba1741dbc"]},{"id":"ITEM-2","itemData":{"DOI":"10.5465/amr.2012.0224","ISSN":"03637425","abstract":"This article provides insight into how some groups achieve extraordinary levels of creativity by reconsidering the collective process through which new ideas develop. Previous research has been premised on a model in which idea generation stimulated by divergent input increases the variance in ideas a group generates and therefore increases the chance that one of the group's ideas will be a radical, breakthrough creative product. In contrast, I present a dialectical model in which the integration of group members' perspectives (which I label creative synthesis) is the foundation for new ideas. I propose that the process of creative synthesis improves the chance that each of a group's ideas is a breakthrough. I elaborate the process facilitators of creative synthesis and the implications of the dialectical model for understanding extraordinary group creativity. Creative synthesis provides an alternative way for groups to combine their cognitive, social, and environmental resources into extraordinary output. Copyright of the Academy of Management, all rights reserved.","author":[{"dropping-particle":"","family":"Harvey","given":"Sarah","non-dropping-particle":"","parse-names":false,"suffix":""}],"container-title":"Academy of Management Review","id":"ITEM-2","issue":"3","issued":{"date-parts":[["2014"]]},"page":"324-343","title":"Creative synthesis: Exploring the process of extraordinary group creativity","type":"article-journal","volume":"39"},"uris":["http://www.mendeley.com/documents/?uuid=17ddf7dd-ff59-478c-b46d-2fde89cd1cf4"]},{"id":"ITEM-3","itemData":{"DOI":"10.1287/mnsc.1090.1072","ISSN":"00251909","abstract":"Are lone inventors more or less likely to invent breakthroughs? Recent research has attempted to resolve this question by considering the variance of creative outcome distributions. It has implicitly assumed a symmetric thickening or thinning of both tails, i.e., that a greater probability of breakthroughs comes at the cost of a greater probability of failures. In contrast, we propose that collaboration can have opposite effects at the two extremes: it reduces the probability of very poor outcomes-because of more rigorous selection processes-while simultaneously increasing the probability of extremely successful outcomes-because of greater recombinant opportunity in creative search. Analysis of over half a million patented inventions supports these arguments: Individuals working alone, especially those without affiliation to organizations, are less likely to achieve breakthroughs and more likely to invent particularly poor outcomes. Quantile regressions demonstrate that the effect is more than an upward mean shift. We find partial mediation of the effect of collaboration on extreme outcomes by the diversity of technical experience of team members and by the size of team members' external collaboration networks. Supporting our meta-argument for the importance of examining each tail of the distribution separately, experience diversity helps trim poor outcomes significantly more than it helps create breakthroughs, relative to the effect of external networks. © 2010 INFORMS.","author":[{"dropping-particle":"","family":"Singh","given":"Jasjit","non-dropping-particle":"","parse-names":false,"suffix":""},{"dropping-particle":"","family":"Fleming","given":"Lee","non-dropping-particle":"","parse-names":false,"suffix":""}],"container-title":"Management Science","id":"ITEM-3","issue":"1","issued":{"date-parts":[["2010","1"]]},"page":"41-56","title":"Lone inventors as sources of breakthroughs: Myth or reality?","type":"article-journal","volume":"56"},"uris":["http://www.mendeley.com/documents/?uuid=78f44798-6e53-3a0d-aa32-58bccd811b39"]}],"mendeley":{"formattedCitation":"(Faraj &amp; Xiao, 2006; Harvey, 2014; Singh &amp; Fleming, 2010)","plainTextFormattedCitation":"(Faraj &amp; Xiao, 2006; Harvey, 2014; Singh &amp; Fleming, 2010)","previouslyFormattedCitation":"(Faraj &amp; Xiao, 2006; Harvey, 2014; Singh &amp; Fleming, 2010)"},"properties":{"noteIndex":0},"schema":"https://github.com/citation-style-language/schema/raw/master/csl-citation.json"}</w:instrText>
      </w:r>
      <w:r>
        <w:rPr>
          <w:iCs/>
        </w:rPr>
        <w:fldChar w:fldCharType="separate"/>
      </w:r>
      <w:r w:rsidR="00814EAA" w:rsidRPr="00814EAA">
        <w:rPr>
          <w:iCs/>
          <w:noProof/>
        </w:rPr>
        <w:t>(Faraj &amp; Xiao, 2006; Harvey, 2014; Singh &amp; Fleming, 2010)</w:t>
      </w:r>
      <w:r>
        <w:rPr>
          <w:iCs/>
        </w:rPr>
        <w:fldChar w:fldCharType="end"/>
      </w:r>
      <w:r>
        <w:rPr>
          <w:iCs/>
        </w:rPr>
        <w:t xml:space="preserve">. </w:t>
      </w:r>
    </w:p>
    <w:p w14:paraId="74E4921E" w14:textId="11D3E550" w:rsidR="00B1250A" w:rsidRPr="00B1250A" w:rsidRDefault="0039527A" w:rsidP="00B1250A">
      <w:pPr>
        <w:rPr>
          <w:iCs/>
        </w:rPr>
      </w:pPr>
      <w:r w:rsidRPr="00CF3435">
        <w:rPr>
          <w:iCs/>
        </w:rPr>
        <w:t>A</w:t>
      </w:r>
      <w:r>
        <w:rPr>
          <w:iCs/>
        </w:rPr>
        <w:t xml:space="preserve">s individuals </w:t>
      </w:r>
      <w:r w:rsidR="002744E8">
        <w:rPr>
          <w:iCs/>
        </w:rPr>
        <w:t>with</w:t>
      </w:r>
      <w:r>
        <w:rPr>
          <w:iCs/>
        </w:rPr>
        <w:t xml:space="preserve"> exceptionally high performance relative to their peers</w:t>
      </w:r>
      <w:r w:rsidRPr="00FC3F82">
        <w:t xml:space="preserve"> </w:t>
      </w:r>
      <w:r w:rsidRPr="001514EE">
        <w:t>and broad external visibility</w:t>
      </w:r>
      <w:r>
        <w:t xml:space="preserve"> </w:t>
      </w:r>
      <w:r>
        <w:fldChar w:fldCharType="begin" w:fldLock="1"/>
      </w:r>
      <w:r w:rsidR="00814EAA">
        <w:instrText>ADDIN CSL_CITATION {"citationItems":[{"id":"ITEM-1","itemData":{"DOI":"10.1287/mnsc.1070.0809","ISSN":"00251909","abstract":"This paper examines the portability of star security analysts' performance. Star analysts who switched employers experienced an immediate decline in performance that persisted for at least five years. This decline was most pronounced among star analysts who moved to firms with lesser capabilities and those who moved solo, without other team members. Star analysts who moved between two firms with equivalent capabilities also exhibited a drop in performance, but only for two years. Those who switched to firms with better capabilities and those who moved with other team members exhibited no significant decline in short-term or long-term performance. These findings suggest that firm-specific skills and firms' capabilities both play important roles in star analysts' performance. In addition, we find that firms that hire star analysts from competitors with better capabilities suffered more extreme negative stock-market reactions than those that hire from comparable or lesser firms. These findings suggest that hiring stars may be perceived as value destroying and may not improve a firm's competitive advantage. © 2008 INFORMS.","author":[{"dropping-particle":"","family":"Groysberg","given":"Boris","non-dropping-particle":"","parse-names":false,"suffix":""},{"dropping-particle":"","family":"Lee","given":"Linda Eling","non-dropping-particle":"","parse-names":false,"suffix":""},{"dropping-particle":"","family":"Nanda","given":"Ashish","non-dropping-particle":"","parse-names":false,"suffix":""}],"container-title":"Management Science","id":"ITEM-1","issue":"7","issued":{"date-parts":[["2008","7"]]},"page":"1213-1230","title":"Can they take it with them? The portability of star knowledge workers' performance","type":"article-journal","volume":"54"},"uris":["http://www.mendeley.com/documents/?uuid=af7a4cff-d0eb-3c1e-9c36-fc1687213462"]},{"id":"ITEM-2","itemData":{"DOI":"10.5465/amr.2010.0403","ISSN":"03637425","abstract":"Because star employees are more visible and productive, they are likely to be sought out by others and develop an information advantage through their abundant social capital. However, not all of the information effects of stardom are beneficial. We theorize that stars' robust social capital may produce an unintended side effect of information overload. We highlight the role of human resource management in minimizing the effects of information overload for stars, and we discuss avenues for future research. © 2012 Academy of Management Review.","author":[{"dropping-particle":"","family":"Oldroyd","given":"James B.","non-dropping-particle":"","parse-names":false,"suffix":""},{"dropping-particle":"","family":"Morris","given":"Shad S.","non-dropping-particle":"","parse-names":false,"suffix":""}],"container-title":"Academy of Management Review","id":"ITEM-2","issue":"3","issued":{"date-parts":[["2012","7","1"]]},"page":"396-418","title":"Catching falling stars: A human resource response to social capital's detrimental effect of information overload on star employees","type":"article-journal","volume":"37"},"uris":["http://www.mendeley.com/documents/?uuid=9afaa61c-afd3-3893-8fcf-bc5f7269f6d9"]}],"mendeley":{"formattedCitation":"(Groysberg et al., 2008; Oldroyd &amp; Morris, 2012)","plainTextFormattedCitation":"(Groysberg et al., 2008; Oldroyd &amp; Morris, 2012)","previouslyFormattedCitation":"(Groysberg et al., 2008; Oldroyd &amp; Morris, 2012)"},"properties":{"noteIndex":0},"schema":"https://github.com/citation-style-language/schema/raw/master/csl-citation.json"}</w:instrText>
      </w:r>
      <w:r>
        <w:fldChar w:fldCharType="separate"/>
      </w:r>
      <w:r w:rsidR="00814EAA" w:rsidRPr="00814EAA">
        <w:rPr>
          <w:noProof/>
        </w:rPr>
        <w:t>(Groysberg et al., 2008; Oldroyd &amp; Morris, 2012)</w:t>
      </w:r>
      <w:r>
        <w:fldChar w:fldCharType="end"/>
      </w:r>
      <w:r>
        <w:t xml:space="preserve">, </w:t>
      </w:r>
      <w:r>
        <w:rPr>
          <w:iCs/>
        </w:rPr>
        <w:t xml:space="preserve">stars exert significant influence on knowledge recombination in teams. </w:t>
      </w:r>
      <w:r w:rsidR="004B2BE1">
        <w:rPr>
          <w:iCs/>
        </w:rPr>
        <w:t>In the following, w</w:t>
      </w:r>
      <w:r>
        <w:rPr>
          <w:iCs/>
        </w:rPr>
        <w:t>e organize these effects based on whether they relate to the</w:t>
      </w:r>
      <w:r w:rsidR="00253FD3">
        <w:rPr>
          <w:iCs/>
        </w:rPr>
        <w:t xml:space="preserve"> team’s</w:t>
      </w:r>
      <w:r>
        <w:rPr>
          <w:iCs/>
        </w:rPr>
        <w:t xml:space="preserve"> stock of heterogenous knowledge available </w:t>
      </w:r>
      <w:r w:rsidR="0046679C">
        <w:rPr>
          <w:iCs/>
        </w:rPr>
        <w:t>(</w:t>
      </w:r>
      <w:r w:rsidR="0046679C" w:rsidRPr="009F67BB">
        <w:rPr>
          <w:i/>
          <w:iCs/>
        </w:rPr>
        <w:t>availability of knowledge</w:t>
      </w:r>
      <w:r w:rsidR="0046679C">
        <w:rPr>
          <w:iCs/>
        </w:rPr>
        <w:t xml:space="preserve">) </w:t>
      </w:r>
      <w:r>
        <w:rPr>
          <w:iCs/>
        </w:rPr>
        <w:t xml:space="preserve">or to the team’s capacity to successfully </w:t>
      </w:r>
      <w:r w:rsidR="00DD7F01">
        <w:rPr>
          <w:iCs/>
        </w:rPr>
        <w:t xml:space="preserve">integrate </w:t>
      </w:r>
      <w:r>
        <w:rPr>
          <w:iCs/>
        </w:rPr>
        <w:t>this knowledge stock</w:t>
      </w:r>
      <w:r w:rsidR="0046679C">
        <w:rPr>
          <w:iCs/>
        </w:rPr>
        <w:t xml:space="preserve"> (</w:t>
      </w:r>
      <w:r w:rsidR="0046679C" w:rsidRPr="009F67BB">
        <w:rPr>
          <w:i/>
          <w:iCs/>
        </w:rPr>
        <w:t>integration of knowledge</w:t>
      </w:r>
      <w:r w:rsidR="0046679C">
        <w:rPr>
          <w:iCs/>
        </w:rPr>
        <w:t>)</w:t>
      </w:r>
      <w:r>
        <w:rPr>
          <w:iCs/>
        </w:rPr>
        <w:t>.</w:t>
      </w:r>
    </w:p>
    <w:p w14:paraId="365383DF" w14:textId="062681AF" w:rsidR="00385F74" w:rsidRDefault="0039527A" w:rsidP="005A2721">
      <w:r>
        <w:rPr>
          <w:iCs/>
        </w:rPr>
        <w:t xml:space="preserve">Stars increase teams’ </w:t>
      </w:r>
      <w:r w:rsidR="00406BFD">
        <w:rPr>
          <w:iCs/>
        </w:rPr>
        <w:t xml:space="preserve">available </w:t>
      </w:r>
      <w:r>
        <w:rPr>
          <w:iCs/>
        </w:rPr>
        <w:t xml:space="preserve">knowledge stock primarily in three ways. First, they contribute their own unique and superior </w:t>
      </w:r>
      <w:r w:rsidRPr="00FC3F82">
        <w:t>skills,</w:t>
      </w:r>
      <w:r>
        <w:t xml:space="preserve"> explicit and</w:t>
      </w:r>
      <w:r w:rsidRPr="00FC3F82">
        <w:t xml:space="preserve"> tacit knowledge, and exper</w:t>
      </w:r>
      <w:r>
        <w:t>tise</w:t>
      </w:r>
      <w:r w:rsidR="00385F74">
        <w:t xml:space="preserve"> </w:t>
      </w:r>
      <w:r w:rsidR="00385F74">
        <w:fldChar w:fldCharType="begin" w:fldLock="1"/>
      </w:r>
      <w:r w:rsidR="00814EAA">
        <w:instrText>ADDIN CSL_CITATION {"citationItems":[{"id":"ITEM-1","itemData":{"DOI":"10.1016/S0742-3322(04)21005-1","ISBN":"0762311355","ISSN":"07423322","abstract":"Do firms build new capabilities by hiring new people? We explore this question in the context of the pharmaceutical industry's movement towards science-driven drug discovery. We focus particularly on the potential problem of endogeneity in interpreting correlation between hiring and changes in organizational outcomes as evidence of the impact of new hires on the firm, and on the more fundamental conceptual question of the conditions under which hiring might be a source of competitive advantage, given the well known objection that resources that are freely available through the market cannot be a source of differential capabilities. Using data on the movement and publication of \"star\" scientists, we find that the adoption of science based drug discovery within the firm is closely correlated with the hiring of star scientists. This correlation appears to be reasonably robust to a number of controls for endogeneity. We also show that the hiring of highly talented scientists appears to have a significant impact on the behavior of scientists already working within the firm. We interpret this as consistent with the idea that hiring may change organizational capabilities through the interaction of new talent with the policies, routines and people already in place within the firm. © 2004 Elsevier Ltd. All rights reserved.","author":[{"dropping-particle":"","family":"Lacetera","given":"Nicola","non-dropping-particle":"","parse-names":false,"suffix":""},{"dropping-particle":"","family":"Cockburn","given":"Iain M.","non-dropping-particle":"","parse-names":false,"suffix":""},{"dropping-particle":"","family":"Henderson","given":"Rebecca","non-dropping-particle":"","parse-names":false,"suffix":""}],"container-title":"Advances in Strategic Management","id":"ITEM-1","issued":{"date-parts":[["2004"]]},"page":"133-159","title":"Do firms change capabilities by hiring people? A study of the adoption of the science-based drug discovery","type":"article-journal","volume":"21"},"prefix":"e.g., ","uris":["http://www.mendeley.com/documents/?uuid=213f14eb-b76e-3ae8-a568-a75edd6ddcdb"]},{"id":"ITEM-2","itemData":{"DOI":"10.1073/pnas.93.23.12709","ISSN":"00278424","abstract":"The most productive ('star') bioscientists had intellectual human capital of extraordinary scientific and pecuniary value for some 10-15 years after Cohen and Boyer's 1973 founding discovery for biotechnology [Cohen, S., Chang, A., Boyer, H. and Helling, R. (1973) Proc. Natl. Acad. Sci. USA 70, 3240-3244]. This extraordinary value was due to the union of still scarce knowledge of the new research techniques and genius and vision to apply them in novel, valuable ways. As in other sciences, star bioscientists were very protective of their techniques, ideas, and discoveries in the early years of the revolution, tending to collaborate more within their own institution, which slowed diffusion to other scientists. Close, bench-level working ties between stars and firm scientists were needed to accomplish commercialization of the breakthroughs. Where and when star scientists were actively producing publications is a key predictor of where and when commercial firms began to use biotechnology. The extent of collaboration by a firm's scientists with stars is a powerful predictor of its success: for an average firm, 5 articles coauthored by an academic star and the firm's scientists result in about 5 more products in development, 3.5 more products on the market, and 860 more employees. Articles by stars collaborating with or employed by firms have significantly higher rates of citation than other articles by the same or other stars. The U.S. scientific and economic infrastructure has been particularly effective in fostering and commercializing the bioscientific revolution. These results let us see the process by which scientific breakthroughs become economic growth and consider implications for policy.","author":[{"dropping-particle":"","family":"Zucker","given":"Lynne G.","non-dropping-particle":"","parse-names":false,"suffix":""},{"dropping-particle":"","family":"Darby","given":"Michael R.","non-dropping-particle":"","parse-names":false,"suffix":""}],"container-title":"Proceedings of the National Academy of Sciences of the United States of America","id":"ITEM-2","issue":"23","issued":{"date-parts":[["1996","11","12"]]},"page":"12709-12716","publisher":"National Academy of Sciences","title":"Star scientists and institutional transformation: Patterns of invention and innovation in the formation of the biotechnology industry","type":"article-journal","volume":"93"},"uris":["http://www.mendeley.com/documents/?uuid=7c33ce8b-92c7-3df2-9e53-c860880f14f5"]},{"id":"ITEM-3","itemData":{"DOI":"10.1287/orsc.1070.0291","ISSN":"10477039","abstract":"Following the dynamic capabilities perspective, we suggest that antecedents to innovation can be found at the individual, firm, and network levels. Thus, we challenge two assumptions common in prior research: (1) that significant variance exists at the focal level of analysis, whereas other levels of analysis are assumed to be homogeneous, and (2) that the focal level of analysis is independent from other levels of analysis. Accordingly, we advance a set of hypotheses to simultaneously assess the direct effects of antecedents at the individual, firm, and network levels on innovation output. We then investigate whether a firm's antecedents to innovation lie across different levels. To accomplish this, we propose two competing interaction hypotheses. We juxtapose the hypothesis that the individual-, firm-, and network-level antecedents to innovation are substitutes versus the proposition that these innovation mechanisms are complements. We test our multilevel theoretical model using an unusually comprehensive and detailed panel data set that documents the innovation attempts of global pharmaceutical companies within biotechnology over a 22-year time period (1980-2001). We find evidence that the antecedents to innovation lie across different levels of analysis and can have compensating or reinforcing effects on firm-level innovative output. © 2007 INFORMS.","author":[{"dropping-particle":"","family":"Rothaermel","given":"Frank T","non-dropping-particle":"","parse-names":false,"suffix":""},{"dropping-particle":"","family":"Hess","given":"Andrew M","non-dropping-particle":"","parse-names":false,"suffix":""}],"container-title":"Organization Science","id":"ITEM-3","issue":"6","issued":{"date-parts":[["2007"]]},"page":"898-921","title":"Building dynamic capabilities: Innovation driven by individual-, firm-, and network-level effects","type":"article-journal","volume":"18"},"uris":["http://www.mendeley.com/documents/?uuid=e7fbf7f7-6bec-3b91-bdbc-e94ea871c646"]}],"mendeley":{"formattedCitation":"(e.g., Lacetera, Cockburn, &amp; Henderson, 2004; Rothaermel &amp; Hess, 2007; Zucker &amp; Darby, 1996)","plainTextFormattedCitation":"(e.g., Lacetera, Cockburn, &amp; Henderson, 2004; Rothaermel &amp; Hess, 2007; Zucker &amp; Darby, 1996)","previouslyFormattedCitation":"(e.g., Lacetera, Cockburn, &amp; Henderson, 2004; Rothaermel &amp; Hess, 2007; Zucker &amp; Darby, 1996)"},"properties":{"noteIndex":0},"schema":"https://github.com/citation-style-language/schema/raw/master/csl-citation.json"}</w:instrText>
      </w:r>
      <w:r w:rsidR="00385F74">
        <w:fldChar w:fldCharType="separate"/>
      </w:r>
      <w:r w:rsidR="00814EAA" w:rsidRPr="00814EAA">
        <w:rPr>
          <w:noProof/>
        </w:rPr>
        <w:t>(e.g., Lacetera, Cockburn, &amp; Henderson, 2004; Rothaermel &amp; Hess, 2007; Zucker &amp; Darby, 1996)</w:t>
      </w:r>
      <w:r w:rsidR="00385F74">
        <w:fldChar w:fldCharType="end"/>
      </w:r>
      <w:r w:rsidR="00B1250A">
        <w:t>. G</w:t>
      </w:r>
      <w:r w:rsidRPr="00DD7F01">
        <w:t xml:space="preserve">iven stars’ superior productivity and impact, </w:t>
      </w:r>
      <w:r w:rsidR="00B1250A">
        <w:t xml:space="preserve">these </w:t>
      </w:r>
      <w:r w:rsidRPr="00DD7F01">
        <w:t>are likely to be signific</w:t>
      </w:r>
      <w:r w:rsidRPr="00385F74">
        <w:t>ant additions</w:t>
      </w:r>
      <w:r w:rsidR="00B1250A">
        <w:t xml:space="preserve"> to the team</w:t>
      </w:r>
      <w:r w:rsidRPr="00385F74">
        <w:t xml:space="preserve">. </w:t>
      </w:r>
      <w:r>
        <w:t xml:space="preserve">Second, due to their pronounced organizational status, reputation and social visibility, stars enjoy access to larger social networks and greater organizational </w:t>
      </w:r>
      <w:r>
        <w:lastRenderedPageBreak/>
        <w:t>resources</w:t>
      </w:r>
      <w:r w:rsidR="004B2BE1">
        <w:t xml:space="preserve">. These resources </w:t>
      </w:r>
      <w:r w:rsidRPr="009E73C6">
        <w:t xml:space="preserve">can be used to </w:t>
      </w:r>
      <w:r w:rsidR="00572B65">
        <w:t>access</w:t>
      </w:r>
      <w:r w:rsidRPr="009E73C6">
        <w:t xml:space="preserve"> external knowledge that may otherwise not be </w:t>
      </w:r>
      <w:r>
        <w:t xml:space="preserve">readily </w:t>
      </w:r>
      <w:r w:rsidR="00482994">
        <w:t>available</w:t>
      </w:r>
      <w:r w:rsidR="00482994" w:rsidRPr="009E73C6">
        <w:t xml:space="preserve"> </w:t>
      </w:r>
      <w:r w:rsidRPr="009E73C6">
        <w:t>to team</w:t>
      </w:r>
      <w:r>
        <w:t xml:space="preserve">s </w:t>
      </w:r>
      <w:r>
        <w:fldChar w:fldCharType="begin" w:fldLock="1"/>
      </w:r>
      <w:r w:rsidR="00814EAA">
        <w:instrText>ADDIN CSL_CITATION {"citationItems":[{"id":"ITEM-1","itemData":{"DOI":"10.5465/amj.2018.0283","ISSN":"00014273","abstract":"Although previous research has highlighted the disproportional contributions of star employees to their teams, an emerging line of research has begun to examine the potentially negative consequences of team stars. Drawing on a social model of team creativity, we develop a dualistic model of the influences of team creative stars on team creativity. Specifically, we explore the roles of two types of team members—star and nonstar employees—in driving team creativity. Across two multiwave and multisource field samples, we find that a creative star who occupies a central position in the team workflow network has both a positive direct effect on team creativity and a negative indirect effect on team creativity via reducing nonstars’ learning (i.e., exploratory and exploitative activities). Our study also reveals that team coordination can mitigate the detrimental effect of a star’s centrality on nonstars’ learning behavior, and subsequently buffer the indirect effect on team creativity.","author":[{"dropping-particle":"","family":"Li","given":"Yuan","non-dropping-particle":"","parse-names":false,"suffix":""},{"dropping-particle":"","family":"Li","given":"Ning","non-dropping-particle":"","parse-names":false,"suffix":""},{"dropping-particle":"","family":"Li","given":"Chuanjia","non-dropping-particle":"","parse-names":false,"suffix":""},{"dropping-particle":"","family":"Li","given":"Jingyu","non-dropping-particle":"","parse-names":false,"suffix":""}],"container-title":"Academy of Management Journal","id":"ITEM-1","issue":"2","issued":{"date-parts":[["2020"]]},"page":"613-635","title":"The boon and bane of creative “stars”: A social network exploration of how and when team creativity is (and is not) driven by a star teammate","type":"article-journal","volume":"63"},"uris":["http://www.mendeley.com/documents/?uuid=04042e09-85d9-4b55-a554-13fa609202b6"]},{"id":"ITEM-2","itemData":{"DOI":"10.5465/amr.2010.0403","ISSN":"03637425","abstract":"Because star employees are more visible and productive, they are likely to be sought out by others and develop an information advantage through their abundant social capital. However, not all of the information effects of stardom are beneficial. We theorize that stars' robust social capital may produce an unintended side effect of information overload. We highlight the role of human resource management in minimizing the effects of information overload for stars, and we discuss avenues for future research. © 2012 Academy of Management Review.","author":[{"dropping-particle":"","family":"Oldroyd","given":"James B.","non-dropping-particle":"","parse-names":false,"suffix":""},{"dropping-particle":"","family":"Morris","given":"Shad S.","non-dropping-particle":"","parse-names":false,"suffix":""}],"container-title":"Academy of Management Review","id":"ITEM-2","issue":"3","issued":{"date-parts":[["2012","7","1"]]},"page":"396-418","title":"Catching falling stars: A human resource response to social capital's detrimental effect of information overload on star employees","type":"article-journal","volume":"37"},"uris":["http://www.mendeley.com/documents/?uuid=9afaa61c-afd3-3893-8fcf-bc5f7269f6d9"]}],"mendeley":{"formattedCitation":"(Li, Li, Li, &amp; Li, 2020; Oldroyd &amp; Morris, 2012)","plainTextFormattedCitation":"(Li, Li, Li, &amp; Li, 2020; Oldroyd &amp; Morris, 2012)","previouslyFormattedCitation":"(Li, Li, Li, &amp; Li, 2020; Oldroyd &amp; Morris, 2012)"},"properties":{"noteIndex":0},"schema":"https://github.com/citation-style-language/schema/raw/master/csl-citation.json"}</w:instrText>
      </w:r>
      <w:r>
        <w:fldChar w:fldCharType="separate"/>
      </w:r>
      <w:r w:rsidR="00814EAA" w:rsidRPr="00814EAA">
        <w:rPr>
          <w:noProof/>
        </w:rPr>
        <w:t>(Li, Li, Li, &amp; Li, 2020; Oldroyd &amp; Morris, 2012)</w:t>
      </w:r>
      <w:r>
        <w:fldChar w:fldCharType="end"/>
      </w:r>
      <w:r>
        <w:t>. Finally, collaborating with stars leads to positive knowledge spillover to non</w:t>
      </w:r>
      <w:r w:rsidR="007041DA">
        <w:t>-</w:t>
      </w:r>
      <w:r>
        <w:t xml:space="preserve">star team members, which can raise the cumulative knowledge stock of the team, albeit not necessarily enhance the diversity of knowledge available </w:t>
      </w:r>
      <w:r w:rsidRPr="00FC3F82">
        <w:fldChar w:fldCharType="begin" w:fldLock="1"/>
      </w:r>
      <w:r w:rsidR="00814EAA">
        <w:instrText>ADDIN CSL_CITATION {"citationItems":[{"id":"ITEM-1","itemData":{"DOI":"10.1002/smj.2240","ISBN":"1097-0266","ISSN":"10970266","PMID":"875962929","abstract":"Do star employees enhance or constrain the innovative performance of an organization? Using data from 456 biotechnology firms between 1973 and 2003, we highlight the duality of the effects that stars have on firm performance. We show that while stars positively affect firms' productivity, their presence constrains the emergence of other innovative leaders in an organization. We find that firm productivity and innovative leadership among non-stars in a firm are greatest when a star has broad expertise and collaborates frequently. We offer cross-disciplinary insights into the role of human capital as a source of competitive advantage, suggesting that the value of human capital in a firm is contingent on the mutual dependence inherent in high-status employees' relationships with other individuals in a firm.","author":[{"dropping-particle":"","family":"Kehoe","given":"Rebecca R.","non-dropping-particle":"","parse-names":false,"suffix":""},{"dropping-particle":"","family":"Tzabbar","given":"Daniel","non-dropping-particle":"","parse-names":false,"suffix":""}],"container-title":"Strategic Management Journal","id":"ITEM-1","issue":"5","issued":{"date-parts":[["2015"]]},"page":"709-727","title":"Lighting the way or stealing the shine? An examination of the duality in star scientists' effects on firm innovative performance","type":"article-journal","volume":"36"},"uris":["http://www.mendeley.com/documents/?uuid=b43a5f5b-03f3-4373-ba36-1dde3a9092f1"]},{"id":"ITEM-2","itemData":{"DOI":"10.1287/mnsc.1110.1470","ISSN":"00251909","abstract":"It is surprising that the prevailing performance taxonomy for scientists (star versus nonstar) focuses only on individual output and ignores social behavior, because innovation is often characterized as a communal process. To develop a deeper understanding of the mechanisms by which scientists influence the productivity of others, I expand the traditional taxonomy of scientists that focuses solely on productivity and add a second, social dimension: helpfulness to others. Using a combination of academic paper publications and citations to capture scientist productivity and the receipt of academic paper acknowledgments to measure helpfulness, I examine the change in publishing output of the coauthors of 149 scientists that die. Coauthors of highly helpful scientists that die experience a decrease in output quality but not output quantity. Meanwhile, the deaths of high productivity scientists that are not highly helpful do not influence their coauthors' output. In addition, scientists who are helpful with conceptual feedback (critique and advice) have a larger impact on the performance of their coauthors than scientists who provide help with material access, scientific tools, or technical work. Within the context of evaluating scientific productivity, it may be time to update our conceptualization of a \"star.\". © 2012 INFORMS.","author":[{"dropping-particle":"","family":"Oettl","given":"Alexander","non-dropping-particle":"","parse-names":false,"suffix":""}],"container-title":"Management Science","id":"ITEM-2","issue":"6","issued":{"date-parts":[["2012","6"]]},"page":"1122-1140","title":"Reconceptualizing stars: Scientist helpfulness and peer performance","type":"article-journal","volume":"58"},"uris":["http://www.mendeley.com/documents/?uuid=ea5dbf47-f05d-3328-a53f-a40cbb0866d9"]}],"mendeley":{"formattedCitation":"(Kehoe &amp; Tzabbar, 2015; Oettl, 2012)","plainTextFormattedCitation":"(Kehoe &amp; Tzabbar, 2015; Oettl, 2012)","previouslyFormattedCitation":"(Kehoe &amp; Tzabbar, 2015; Oettl, 2012)"},"properties":{"noteIndex":0},"schema":"https://github.com/citation-style-language/schema/raw/master/csl-citation.json"}</w:instrText>
      </w:r>
      <w:r w:rsidRPr="00FC3F82">
        <w:fldChar w:fldCharType="separate"/>
      </w:r>
      <w:r w:rsidR="00814EAA" w:rsidRPr="00814EAA">
        <w:rPr>
          <w:noProof/>
        </w:rPr>
        <w:t>(Kehoe &amp; Tzabbar, 2015; Oettl, 2012)</w:t>
      </w:r>
      <w:r w:rsidRPr="00FC3F82">
        <w:fldChar w:fldCharType="end"/>
      </w:r>
      <w:r>
        <w:t>.</w:t>
      </w:r>
    </w:p>
    <w:p w14:paraId="5B120897" w14:textId="0F08E58D" w:rsidR="0039527A" w:rsidRDefault="0039527A" w:rsidP="005A2721">
      <w:r>
        <w:t xml:space="preserve">In </w:t>
      </w:r>
      <w:r w:rsidR="00253FD3">
        <w:t>addition</w:t>
      </w:r>
      <w:r>
        <w:t xml:space="preserve">, stars impact teams’ knowledge integration processes in two key </w:t>
      </w:r>
      <w:r w:rsidRPr="00D2687C">
        <w:t xml:space="preserve">ways. First, stars have been shown to play a central role in creative synthesis in teams, often by identifying and filling knowledge gaps, building consensus, and facilitating the simultaneous consideration of diverse ideas and specialized knowledge </w:t>
      </w:r>
      <w:r w:rsidRPr="00D2687C">
        <w:fldChar w:fldCharType="begin" w:fldLock="1"/>
      </w:r>
      <w:r w:rsidR="00814EAA">
        <w:instrText>ADDIN CSL_CITATION {"citationItems":[{"id":"ITEM-1","itemData":{"DOI":"10.1287/orsc.2018.1223","ISSN":"15265455","abstract":"Creative stars make disproportionately influential contributions to their fields. Yet we know little about how an innovator's creative performance is affected by collaborating with stars. This paper studies the creative aspects of interpersonal collaboration from a distinct perspective: the quality of the collaborator. Both star and nonstar collaborators provide different benefits to a focal innovator. The innovator benefits from collaborating with nonstars because they may provide access to diverse information improving the outcome of the creative task at hand. In contrast, the focal innovator benefits from collaborating with stars because the focal innovator can also experience and learn from the star's superior set of creative synthesis skills (which integrate diverse, sometimes contradictory ideas into new coherent and holistic solutions) and, thus, build lasting creative capabilities. Building on theoretical arguments about those two different collaboration purposes, we first examine how a star collaboration (versus a nonstar collaboration) affects a comprehensive measure of an innovator's creativity: the likelihood of emerging as a star. Second, we examine how the different creative benefits of engaging with a star versus a nonstar collaborator affect the effect of two widely studied aspects of interpersonal collaboration on star emergence: social network cohesion and expertise similarity. In contrast to collaborations with nonstars, for which social cohesion and expertise similarity limit access to diverse information, negatively affecting star emergence, social network cohesion and expertise similarity have a decidedly positive effect on star collaborations by improving the transfer of the star's set of creative skills. Our empirical setting consists of designers who have been granted design patents in the United States from 1975 through 2010.","author":[{"dropping-particle":"","family":"Liu","given":"Haibo","non-dropping-particle":"","parse-names":false,"suffix":""},{"dropping-particle":"","family":"Mihm","given":"Jürgen","non-dropping-particle":"","parse-names":false,"suffix":""},{"dropping-particle":"","family":"Sosa","given":"Manuel E.","non-dropping-particle":"","parse-names":false,"suffix":""}],"container-title":"Organization Science","id":"ITEM-1","issue":"6","issued":{"date-parts":[["2019","10","1"]]},"page":"1149-1169","publisher":"INFORMS Inst.for Operations Res.and the Management Sciences","title":"Where do stars come from? The role of star vs. nonstar collaborators in creative settings","type":"article-journal","volume":"29"},"uris":["http://www.mendeley.com/documents/?uuid=03d0aa89-6fd2-3dd4-8e24-34ecc78b89ae"]},{"id":"ITEM-2","itemData":{"DOI":"10.5465/amj.2018.0283","ISSN":"00014273","abstract":"Although previous research has highlighted the disproportional contributions of star employees to their teams, an emerging line of research has begun to examine the potentially negative consequences of team stars. Drawing on a social model of team creativity, we develop a dualistic model of the influences of team creative stars on team creativity. Specifically, we explore the roles of two types of team members—star and nonstar employees—in driving team creativity. Across two multiwave and multisource field samples, we find that a creative star who occupies a central position in the team workflow network has both a positive direct effect on team creativity and a negative indirect effect on team creativity via reducing nonstars’ learning (i.e., exploratory and exploitative activities). Our study also reveals that team coordination can mitigate the detrimental effect of a star’s centrality on nonstars’ learning behavior, and subsequently buffer the indirect effect on team creativity.","author":[{"dropping-particle":"","family":"Li","given":"Yuan","non-dropping-particle":"","parse-names":false,"suffix":""},{"dropping-particle":"","family":"Li","given":"Ning","non-dropping-particle":"","parse-names":false,"suffix":""},{"dropping-particle":"","family":"Li","given":"Chuanjia","non-dropping-particle":"","parse-names":false,"suffix":""},{"dropping-particle":"","family":"Li","given":"Jingyu","non-dropping-particle":"","parse-names":false,"suffix":""}],"container-title":"Academy of Management Journal","id":"ITEM-2","issue":"2","issued":{"date-parts":[["2020"]]},"page":"613-635","title":"The boon and bane of creative “stars”: A social network exploration of how and when team creativity is (and is not) driven by a star teammate","type":"article-journal","volume":"63"},"uris":["http://www.mendeley.com/documents/?uuid=04042e09-85d9-4b55-a554-13fa609202b6"]}],"mendeley":{"formattedCitation":"(Li et al., 2020; Liu et al., 2019)","plainTextFormattedCitation":"(Li et al., 2020; Liu et al., 2019)","previouslyFormattedCitation":"(Li et al., 2020; Liu et al., 2019)"},"properties":{"noteIndex":0},"schema":"https://github.com/citation-style-language/schema/raw/master/csl-citation.json"}</w:instrText>
      </w:r>
      <w:r w:rsidRPr="00D2687C">
        <w:fldChar w:fldCharType="separate"/>
      </w:r>
      <w:r w:rsidR="00814EAA" w:rsidRPr="00814EAA">
        <w:rPr>
          <w:noProof/>
        </w:rPr>
        <w:t>(Li et al., 2020; Liu et al., 2019)</w:t>
      </w:r>
      <w:r w:rsidRPr="00D2687C">
        <w:fldChar w:fldCharType="end"/>
      </w:r>
      <w:r w:rsidRPr="00D2687C">
        <w:t xml:space="preserve">. </w:t>
      </w:r>
      <w:r>
        <w:t xml:space="preserve">Second, stars can paradoxically </w:t>
      </w:r>
      <w:r w:rsidR="00253FD3">
        <w:t xml:space="preserve">also </w:t>
      </w:r>
      <w:r>
        <w:t xml:space="preserve">impede teams’ knowledge </w:t>
      </w:r>
      <w:r w:rsidR="00572B65">
        <w:t xml:space="preserve">exchange and </w:t>
      </w:r>
      <w:r>
        <w:t xml:space="preserve">integration, due to the development of star-centric routines and information overload </w:t>
      </w:r>
      <w:r w:rsidR="00572B65">
        <w:t xml:space="preserve">brought about </w:t>
      </w:r>
      <w:r>
        <w:t xml:space="preserve">by their excessive social visibility and organizational status </w:t>
      </w:r>
      <w:r>
        <w:fldChar w:fldCharType="begin" w:fldLock="1"/>
      </w:r>
      <w:r w:rsidR="00814EAA">
        <w:instrText>ADDIN CSL_CITATION {"citationItems":[{"id":"ITEM-1","itemData":{"DOI":"10.5465/amr.2010.0403","ISSN":"03637425","abstract":"Because star employees are more visible and productive, they are likely to be sought out by others and develop an information advantage through their abundant social capital. However, not all of the information effects of stardom are beneficial. We theorize that stars' robust social capital may produce an unintended side effect of information overload. We highlight the role of human resource management in minimizing the effects of information overload for stars, and we discuss avenues for future research. © 2012 Academy of Management Review.","author":[{"dropping-particle":"","family":"Oldroyd","given":"James B.","non-dropping-particle":"","parse-names":false,"suffix":""},{"dropping-particle":"","family":"Morris","given":"Shad S.","non-dropping-particle":"","parse-names":false,"suffix":""}],"container-title":"Academy of Management Review","id":"ITEM-1","issue":"3","issued":{"date-parts":[["2012","7","1"]]},"page":"396-418","title":"Catching falling stars: A human resource response to social capital's detrimental effect of information overload on star employees","type":"article-journal","volume":"37"},"uris":["http://www.mendeley.com/documents/?uuid=9afaa61c-afd3-3893-8fcf-bc5f7269f6d9"]},{"id":"ITEM-2","itemData":{"DOI":"10.1002/smj.2758","ISSN":"10970266","abstract":"Research Summary: While research has focused primarily on stars as individual contributors, we examine organizational situations where stars must work closely with non-stars. We argue that, in such situations, building teamwork around a star is an exercise in learning under complexity. In response, organizations prioritize interactions involving the star to simplify learning. This simplification, however, creates organizational myopia. We claim that a star’s temporary absence helps the organization overcome myopia by triggering a search for new routines. When he returns, the organization may combine these new routines with pre-absence routines to improve teamwork and performance. We exploit injuries to star players in the National Basketball Association as an exogenous shock and find that on average, teams perform better after a star’s return than before his absence. Managerial Summary: This study examines the effect of the temporary absence of a star evidence that a star employee’s temporary absence helps the organization overcome an over-reliance on the star and improve teamwork. Improved teamwork, in turn, enables the organization to perform better upon the star’s return than it did prior to his absence. This result suggests that organizations might want to revisit the tendency to view stars as too valuable to lose, even for a short time. In particular, organizations may want to pull stars from ongoing projects and encourage them to attend professional development programs. A star’s temporary absence and return from such a program improves not only the star’s skills but also the organization’s teamwork.","author":[{"dropping-particle":"","family":"Chen","given":"John S.","non-dropping-particle":"","parse-names":false,"suffix":""},{"dropping-particle":"","family":"Garg","given":"Pranav","non-dropping-particle":"","parse-names":false,"suffix":""}],"container-title":"Strategic Management Journal","id":"ITEM-2","issue":"5","issued":{"date-parts":[["2018","5","1"]]},"page":"1239-1267","publisher":"John Wiley and Sons Ltd","title":"Dancing with the stars: Benefits of a star employee’s temporary absence for organizational performance","type":"article-journal","volume":"39"},"uris":["http://www.mendeley.com/documents/?uuid=58ca222c-36e0-3a31-847a-c5735491d9f8"]},{"id":"ITEM-3","itemData":{"DOI":"10.5465/amj.2018.0283","ISSN":"00014273","abstract":"Although previous research has highlighted the disproportional contributions of star employees to their teams, an emerging line of research has begun to examine the potentially negative consequences of team stars. Drawing on a social model of team creativity, we develop a dualistic model of the influences of team creative stars on team creativity. Specifically, we explore the roles of two types of team members—star and nonstar employees—in driving team creativity. Across two multiwave and multisource field samples, we find that a creative star who occupies a central position in the team workflow network has both a positive direct effect on team creativity and a negative indirect effect on team creativity via reducing nonstars’ learning (i.e., exploratory and exploitative activities). Our study also reveals that team coordination can mitigate the detrimental effect of a star’s centrality on nonstars’ learning behavior, and subsequently buffer the indirect effect on team creativity.","author":[{"dropping-particle":"","family":"Li","given":"Yuan","non-dropping-particle":"","parse-names":false,"suffix":""},{"dropping-particle":"","family":"Li","given":"Ning","non-dropping-particle":"","parse-names":false,"suffix":""},{"dropping-particle":"","family":"Li","given":"Chuanjia","non-dropping-particle":"","parse-names":false,"suffix":""},{"dropping-particle":"","family":"Li","given":"Jingyu","non-dropping-particle":"","parse-names":false,"suffix":""}],"container-title":"Academy of Management Journal","id":"ITEM-3","issue":"2","issued":{"date-parts":[["2020"]]},"page":"613-635","title":"The boon and bane of creative “stars”: A social network exploration of how and when team creativity is (and is not) driven by a star teammate","type":"article-journal","volume":"63"},"uris":["http://www.mendeley.com/documents/?uuid=04042e09-85d9-4b55-a554-13fa609202b6"]},{"id":"ITEM-4","itemData":{"DOI":"10.1287/orsc.2015.0969","ISSN":"15265455","abstract":"The access to the diverse information that teams gain through the geographic dispersion of their members is argued to increase the likelihood that they will produce more novel innovations. Although valuable, such dispersion also increases communication and coordination costs, making it difficult to utilize this information in developing new knowledge. To resolve this theoretical dilemma, we investigate the conditions that alter the effect of team members' geographic dispersion on innovative novelty. Based on an investigation of 7,162 scientific teams in the biotechnology sector between 1973 and 1999, we argue and demonstrate that the degree of teams' innovative novelty is curvilinear: it increases and then decreases as the geographic dispersion of the team members increases. We also establish that the effect of geographic dispersion on the novelty of a team's innovation depends on the team's social environment. The greater the relational strength among research and development team members, the stronger the initial positive effect of their geographic dispersion, and the weaker the negative effect at higher levels of dispersion. Furthermore, the greater the status asymmetry in a team, the weaker the initial positive effect of geographic dispersion, and the stronger the negative effect at high levels of dispersion. These results offer insights into the social mechanisms that can facilitate the realization of the potential embedded in dispersed teams to generate novel innovation.","author":[{"dropping-particle":"","family":"Tzabbar","given":"Daniel","non-dropping-particle":"","parse-names":false,"suffix":""},{"dropping-particle":"","family":"Vestal","given":"Alex","non-dropping-particle":"","parse-names":false,"suffix":""}],"container-title":"Organization Science","id":"ITEM-4","issue":"3","issued":{"date-parts":[["2015"]]},"page":"811-829","title":"Bridging the social chasm in geographically distributed R&amp;D teams: The moderating effects of relational strength and status asymmetry on the novelty of team innovation","type":"article-journal","volume":"26"},"uris":["http://www.mendeley.com/documents/?uuid=5c5a81fc-9a52-4a61-8fbc-9c0d2b822e64"]}],"mendeley":{"formattedCitation":"(Chen &amp; Garg, 2018; Li et al., 2020; Oldroyd &amp; Morris, 2012; Tzabbar &amp; Vestal, 2015)","plainTextFormattedCitation":"(Chen &amp; Garg, 2018; Li et al., 2020; Oldroyd &amp; Morris, 2012; Tzabbar &amp; Vestal, 2015)","previouslyFormattedCitation":"(Chen &amp; Garg, 2018; Li et al., 2020; Oldroyd &amp; Morris, 2012; Tzabbar &amp; Vestal, 2015)"},"properties":{"noteIndex":0},"schema":"https://github.com/citation-style-language/schema/raw/master/csl-citation.json"}</w:instrText>
      </w:r>
      <w:r>
        <w:fldChar w:fldCharType="separate"/>
      </w:r>
      <w:r w:rsidR="00814EAA" w:rsidRPr="00814EAA">
        <w:rPr>
          <w:noProof/>
        </w:rPr>
        <w:t>(Chen &amp; Garg, 2018; Li et al., 2020; Oldroyd &amp; Morris, 2012; Tzabbar &amp; Vestal, 2015)</w:t>
      </w:r>
      <w:r>
        <w:fldChar w:fldCharType="end"/>
      </w:r>
      <w:r>
        <w:t xml:space="preserve">. </w:t>
      </w:r>
    </w:p>
    <w:p w14:paraId="5DE05F3F" w14:textId="3C6007E8" w:rsidR="0039527A" w:rsidRDefault="0039527A" w:rsidP="00D1581F">
      <w:r>
        <w:t xml:space="preserve">To summarize, stars </w:t>
      </w:r>
      <w:r w:rsidR="007041DA">
        <w:t>are</w:t>
      </w:r>
      <w:r>
        <w:t xml:space="preserve"> known to affect team knowledge recombination in both positive and negative ways. In the subsequent sections, we review literature</w:t>
      </w:r>
      <w:r w:rsidR="00253FD3">
        <w:t xml:space="preserve"> on gender differences</w:t>
      </w:r>
      <w:r>
        <w:t xml:space="preserve"> to establish that these effects may not be homogenous for male and female stars</w:t>
      </w:r>
      <w:r w:rsidR="00D1581F">
        <w:t>.</w:t>
      </w:r>
    </w:p>
    <w:p w14:paraId="03B2DE4A" w14:textId="498541DD" w:rsidR="0039527A" w:rsidRPr="00B30BA1" w:rsidRDefault="0039527A" w:rsidP="001E6427">
      <w:pPr>
        <w:pStyle w:val="Heading2"/>
      </w:pPr>
      <w:r>
        <w:t xml:space="preserve">Gender differences in stars’ status </w:t>
      </w:r>
    </w:p>
    <w:p w14:paraId="56FCF040" w14:textId="0CC9B572" w:rsidR="00A732CC" w:rsidRDefault="0039527A" w:rsidP="005A2721">
      <w:r>
        <w:t>A large amount of evidence shows that</w:t>
      </w:r>
      <w:r w:rsidR="0039298F">
        <w:t>, on average,</w:t>
      </w:r>
      <w:r>
        <w:t xml:space="preserve"> </w:t>
      </w:r>
      <w:r w:rsidR="006E0FF9">
        <w:t>women have</w:t>
      </w:r>
      <w:r>
        <w:t xml:space="preserve"> lower status</w:t>
      </w:r>
      <w:r w:rsidR="00C55D5B">
        <w:t xml:space="preserve"> </w:t>
      </w:r>
      <w:r>
        <w:t>than men in organizational contexts</w:t>
      </w:r>
      <w:r w:rsidR="006E0FF9">
        <w:t>. G</w:t>
      </w:r>
      <w:r>
        <w:t xml:space="preserve">ender serves as </w:t>
      </w:r>
      <w:r w:rsidRPr="006108A5">
        <w:t xml:space="preserve">a diffuse status characteristic that leads to perceptions of higher competence and influence for </w:t>
      </w:r>
      <w:r>
        <w:t xml:space="preserve">men </w:t>
      </w:r>
      <w:r>
        <w:fldChar w:fldCharType="begin" w:fldLock="1"/>
      </w:r>
      <w:r w:rsidR="00814EAA">
        <w:instrText>ADDIN CSL_CITATION {"citationItems":[{"id":"ITEM-1","itemData":{"DOI":"10.4135/9781452231365.n11","abstract":"The authors consider the influence of gender on group relations. Drawing on social role theory and status characteristics theory, they examine men's and women's influence over others and tendency to emerge as informal leaders in task-oriented groups, which include but are not limited to formal work groups. They review research on determinants of gender differences in social influence and emergent leadership such as perceptions of men's and women's competence, roles played in group interactions, communication styles, and the sex type of the group's task. The authors conclude that differences in the status and roles of women and men in society lead to patterns of interactions in mixed-sex task-oriented groups that place women at a disadvantage. (PsycINFO Database Record (c) 2009 APA, all rights reserved) (introduction)","author":[{"dropping-particle":"","family":"Carli","given":"Linda L.","non-dropping-particle":"","parse-names":false,"suffix":""},{"dropping-particle":"","family":"Eagly","given":"Alice H.","non-dropping-particle":"","parse-names":false,"suffix":""}],"container-title":"Handbook of Gender &amp; Work","editor":[{"dropping-particle":"","family":"Powell","given":"G. N.","non-dropping-particle":"","parse-names":false,"suffix":""}],"id":"ITEM-1","issued":{"date-parts":[["1999"]]},"page":"203-222","publisher":"SAGE Publications Inc.","publisher-place":"Thousand Oaks, California","title":"Gender effects on social influence and emergent leadership","type":"chapter"},"uris":["http://www.mendeley.com/documents/?uuid=4c746655-f313-4d15-b9df-d659c1d4b89f"]},{"id":"ITEM-2","itemData":{"DOI":"10.1007/978-1-4757-2199-7_7","abstract":"... In same-sex groups, whether or not gender expectations are specifically activated, women's and men's differ - ent skills and ... Such a difference between the two theories' predictions can be seen most clearly when a mixed-sex group ... 7. Are Gender Differences Status Differences ? ... \\n","author":[{"dropping-particle":"","family":"Ridgeway","given":"Cecilia L.","non-dropping-particle":"","parse-names":false,"suffix":""},{"dropping-particle":"","family":"Diekema","given":"David","non-dropping-particle":"","parse-names":false,"suffix":""}],"container-title":"Gender, Interaction, and Inequality","id":"ITEM-2","issued":{"date-parts":[["1992"]]},"page":"157-180","title":"Are gender differences status differences?","type":"article-journal"},"uris":["http://www.mendeley.com/documents/?uuid=46ae0993-48d2-40b7-8854-e37131e80cbb"]}],"mendeley":{"formattedCitation":"(Carli &amp; Eagly, 1999; Ridgeway &amp; Diekema, 1992)","plainTextFormattedCitation":"(Carli &amp; Eagly, 1999; Ridgeway &amp; Diekema, 1992)","previouslyFormattedCitation":"(Carli &amp; Eagly, 1999; Ridgeway &amp; Diekema, 1992)"},"properties":{"noteIndex":0},"schema":"https://github.com/citation-style-language/schema/raw/master/csl-citation.json"}</w:instrText>
      </w:r>
      <w:r>
        <w:fldChar w:fldCharType="separate"/>
      </w:r>
      <w:r w:rsidR="00814EAA" w:rsidRPr="00814EAA">
        <w:rPr>
          <w:noProof/>
        </w:rPr>
        <w:t>(Carli &amp; Eagly, 1999; Ridgeway &amp; Diekema, 1992)</w:t>
      </w:r>
      <w:r>
        <w:fldChar w:fldCharType="end"/>
      </w:r>
      <w:r w:rsidRPr="006108A5">
        <w:t>.</w:t>
      </w:r>
      <w:r>
        <w:t xml:space="preserve"> </w:t>
      </w:r>
      <w:r w:rsidR="0039298F">
        <w:t xml:space="preserve">Because </w:t>
      </w:r>
      <w:r>
        <w:t>gender is a highly salient characteristic</w:t>
      </w:r>
      <w:r w:rsidR="00D11E64">
        <w:t xml:space="preserve"> in organizations</w:t>
      </w:r>
      <w:r>
        <w:t xml:space="preserve"> </w:t>
      </w:r>
      <w:r>
        <w:fldChar w:fldCharType="begin" w:fldLock="1"/>
      </w:r>
      <w:r w:rsidR="00814EAA">
        <w:instrText>ADDIN CSL_CITATION {"citationItems":[{"id":"ITEM-1","itemData":{"DOI":"10.1177/089124390004002002","ISSN":"08912432","abstract":"In spite of feminist recognition that hierarchical organizations are an important location of male dominance, most feminists writing about organizations assume that organizational structure is gender neutral. This article argues that organizational structure is not gender neutral; on the contrary, assumptions about gender underlie the documents and contracts used to construct organizations and to provide the commonsense ground for theorizing about them. Their gendered nature is partly masked through obscuring the embodied nature of work. Abstract jobs and hierarchies, common concepts in organizational thinking, assume a disembodies and universal worker. This worker is actually a man; men's bodies, sexuality, and relationships to procreation and paid work are subsumed in the image of the worker. Images of men's bodies and masculinity pervade organizational processes, marginalizing women and contributing to the maintenance of gender segregation in organizations. The positing of gender-neutral and disembodied organizational structures and work relations is part of the larger strategy of control in industrial capitalist societies, which, at least partly, are built upon a deeply embedded substructure of gender difference. © 1990, SAGE PUBLICATIONS. All rights reserved.","author":[{"dropping-particle":"","family":"Acker","given":"Joan","non-dropping-particle":"","parse-names":false,"suffix":""}],"container-title":"Gender &amp; Society","id":"ITEM-1","issue":"2","issued":{"date-parts":[["1990"]]},"page":"139-158","title":"Hierarchies, jobs, bodies: A theory of gendered organizations","type":"article-journal","volume":"4"},"uris":["http://www.mendeley.com/documents/?uuid=1cedd05f-138f-4e74-9768-4ce11a746e70"]}],"mendeley":{"formattedCitation":"(Acker, 1990)","plainTextFormattedCitation":"(Acker, 1990)","previouslyFormattedCitation":"(Acker, 1990)"},"properties":{"noteIndex":0},"schema":"https://github.com/citation-style-language/schema/raw/master/csl-citation.json"}</w:instrText>
      </w:r>
      <w:r>
        <w:fldChar w:fldCharType="separate"/>
      </w:r>
      <w:r w:rsidR="00814EAA" w:rsidRPr="00814EAA">
        <w:rPr>
          <w:noProof/>
        </w:rPr>
        <w:t>(Acker, 1990)</w:t>
      </w:r>
      <w:r>
        <w:fldChar w:fldCharType="end"/>
      </w:r>
      <w:r>
        <w:t xml:space="preserve">, status differences attributed to gender signify not only relative positioning in social hierarchies, but also access to prestige and power </w:t>
      </w:r>
      <w:r>
        <w:fldChar w:fldCharType="begin" w:fldLock="1"/>
      </w:r>
      <w:r w:rsidR="00814EAA">
        <w:instrText>ADDIN CSL_CITATION {"citationItems":[{"id":"ITEM-1","itemData":{"abstract":"Sparrowe for their comments and encouragement during the development of this paper, Martin Kilduff, Linda Johanson, and three anonymous reviewers for excellent feedback and guidance throughout the review process, Dallen Miner, Marion Shumway, and Brad Weaver for assistance with data collection, and Kristin Pol-lak for help with data preparation and analysis. This paper develops and tests a theory of expertise recognition and utilization in groups that focuses on the critical role of members' status cues as indicators of task expertise. The theory draws on status characteristics theory and past research on groups to propose that while attributions of expertise in work groups will be informed by both specific (i.e., task-relevant) and diffuse (i.e., social category) status cues, the strength of this association will be contingent on the type of cue as well as on characteristics of the group context. So, whereas specific status cues will better predict attributions of expertise in decentralized , longer-tenured groups, diffuse status cues will better predict attributions of expertise in centralized, shorter-tenured groups. Further, attributions of expertise should fully mediate the relationship between members' status cues and intragroup influence. A multilevel test of these hypotheses in a sample of self-managed production teams in a Fortune 100 high-technology firm provides strong support. Group-level analyses confirm that the alignment of intragroup influence with specific status cues is positively associated with group performance.* In contemporary organizations, the experience, knowledge, and expertise needed to solve problems, make decisions, and perform organizational work frequently reside in groups and teams. In fact, groups and teams are often formed with the explicit goal of bringing together individuals who are or who are expected to become experts in the performance of specific aspects of an organization's work. Typically, however, knowledge and expertise are heterogeneously distributed within work groups such that some group members will almost invariably be more expert in the performance of particular group tasks than others, given differences in experience , training, education, or natural ability. Given this hetero-geneity, work groups face the challenge of identifying their more expert members and giving greater weight to the advice, suggestions, and opinions of these more expert members in solving problems and making decisions. By thus a…","author":[{"dropping-particle":"","family":"Bunderson","given":"Stuart J","non-dropping-particle":"","parse-names":false,"suffix":""}],"container-title":"Administrative Science Quarterly","id":"ITEM-1","issued":{"date-parts":[["2003"]]},"page":"557-591","title":"Recognizing and utilizing expertise in work groups: A status characteristics perspective","type":"article-journal","volume":"48"},"uris":["http://www.mendeley.com/documents/?uuid=35b642e9-551a-43a6-875a-cb60ad1ca9c1"]},{"id":"ITEM-2","itemData":{"DOI":"10.1111/1467-9558.00157","ISSN":"07352751","abstract":"Beliefs about diverse status characteristics have a common core content of performance capacities and qualities made up of two features: hierarchy (superior/inferior capacities) and role-differentiation (instrumental/expressive qualities). Whatever the status characteristic, its more-valued state tends to be defined as superior and instrumental, and the less-valued state tends to be defined as inferior but expressive. We account for this in terms of the typification of differences in behavioral inequalities and profiles that emerge in task oriented social interaction. Status construction theory argues that new configurations of the states of a nonvalued discriminating characteristic, status values, and status typifications of actors possessing these states arise from a similar process. The theory we present here makes new predictions on the construction and institutionalization of status characteristics and generalized beliefs about the relation of status characteristics to social rewards, called referential structures. This theory, we argue, integrates micro and macro elements in a way that may be applicable to explaining the social construction of cultural objects more generally.","author":[{"dropping-particle":"","family":"Berger","given":"Joseph","non-dropping-particle":"","parse-names":false,"suffix":""},{"dropping-particle":"","family":"Ridgeway","given":"Cecilia L.","non-dropping-particle":"","parse-names":false,"suffix":""},{"dropping-particle":"","family":"Zelditch","given":"Morris","non-dropping-particle":"","parse-names":false,"suffix":""}],"container-title":"Sociological Theory","id":"ITEM-2","issue":"2","issued":{"date-parts":[["2002"]]},"page":"157-179","title":"Construction of status and referential structures","type":"article-journal","volume":"20"},"uris":["http://www.mendeley.com/documents/?uuid=0383c2d8-aa29-4fa4-abf6-e232075f1cae"]}],"mendeley":{"formattedCitation":"(Berger, Ridgeway, &amp; Zelditch, 2002; Bunderson, 2003)","plainTextFormattedCitation":"(Berger, Ridgeway, &amp; Zelditch, 2002; Bunderson, 2003)","previouslyFormattedCitation":"(Berger, Ridgeway, &amp; Zelditch, 2002; Bunderson, 2003)"},"properties":{"noteIndex":0},"schema":"https://github.com/citation-style-language/schema/raw/master/csl-citation.json"}</w:instrText>
      </w:r>
      <w:r>
        <w:fldChar w:fldCharType="separate"/>
      </w:r>
      <w:r w:rsidR="00814EAA" w:rsidRPr="00814EAA">
        <w:rPr>
          <w:noProof/>
        </w:rPr>
        <w:t>(Berger, Ridgeway, &amp; Zelditch, 2002; Bunderson, 2003)</w:t>
      </w:r>
      <w:r>
        <w:fldChar w:fldCharType="end"/>
      </w:r>
      <w:r>
        <w:t xml:space="preserve">. </w:t>
      </w:r>
      <w:r w:rsidR="00052468">
        <w:t>Extending</w:t>
      </w:r>
      <w:r>
        <w:t xml:space="preserve"> these findings to stars, </w:t>
      </w:r>
      <w:r w:rsidRPr="006108A5">
        <w:t xml:space="preserve">male stars are likely to enjoy higher </w:t>
      </w:r>
      <w:r w:rsidR="00C55D5B">
        <w:lastRenderedPageBreak/>
        <w:t>status</w:t>
      </w:r>
      <w:r w:rsidRPr="006108A5">
        <w:t xml:space="preserve"> </w:t>
      </w:r>
      <w:r w:rsidR="008F2235">
        <w:t xml:space="preserve">and visibility </w:t>
      </w:r>
      <w:r w:rsidRPr="006108A5">
        <w:t>than comparable female stars</w:t>
      </w:r>
      <w:r w:rsidRPr="00B30BA1">
        <w:t xml:space="preserve"> due to gender-driven discounting of </w:t>
      </w:r>
      <w:r w:rsidR="00052468">
        <w:t>female stars’</w:t>
      </w:r>
      <w:r w:rsidRPr="00B30BA1">
        <w:t xml:space="preserve"> achievements. </w:t>
      </w:r>
      <w:r w:rsidR="00CD608F">
        <w:t>In turn, m</w:t>
      </w:r>
      <w:r w:rsidR="00A732CC">
        <w:t xml:space="preserve">ale stars’ higher status </w:t>
      </w:r>
      <w:r w:rsidR="00CD608F">
        <w:t>may</w:t>
      </w:r>
      <w:r w:rsidR="00A732CC">
        <w:t xml:space="preserve"> impl</w:t>
      </w:r>
      <w:r w:rsidR="00CD608F">
        <w:t>y</w:t>
      </w:r>
      <w:r w:rsidR="00A732CC">
        <w:t xml:space="preserve"> greater control over teams’ resources and greater social prestige than comparable female stars</w:t>
      </w:r>
      <w:r w:rsidR="00210E0D">
        <w:t xml:space="preserve"> would have</w:t>
      </w:r>
      <w:r w:rsidR="00A732CC">
        <w:t xml:space="preserve"> </w:t>
      </w:r>
      <w:r w:rsidR="00A732CC">
        <w:fldChar w:fldCharType="begin" w:fldLock="1"/>
      </w:r>
      <w:r w:rsidR="00814EAA">
        <w:instrText>ADDIN CSL_CITATION {"citationItems":[{"id":"ITEM-1","itemData":{"ISSN":"00031224","author":[{"dropping-particle":"","family":"Blau","given":"Peter M.","non-dropping-particle":"","parse-names":false,"suffix":""}],"id":"ITEM-1","issued":{"date-parts":[["1964"]]},"number-of-pages":"789","publisher":"John Wiley &amp; Sons","publisher-place":"New York","title":"Exchange and power in social life.","type":"book"},"uris":["http://www.mendeley.com/documents/?uuid=5c7cdf22-78a4-4b4f-b678-1b936c48f5f0"]},{"id":"ITEM-2","itemData":{"ISBN":"0022-3514","abstract":"One of the most important goals and outcomes of social life is to attain status in the groups to which we belong. Such face-to-face status is defined by the amount of respect, influence, and prominence each member enjoys in the eyes of the others. Three studies investigated personological determinants of status in social groups (fraternity, sorority, and dormitory), relating the Big Five personality traits and physical attractiveness to peer ratings of status. High Extraversion substantially predicted elevated status for both sexes. High Neuroticism, incompatible with male gender norms, predicted lower status in men. None of the other Big Five traits predicted status. These effects were independent of attractiveness, which predicted higher status only in men. Contrary to previous claims, women's status ordering was just as stable as men's but emerged later. Discussion focuses on personological pathways to attaining status and on potential mediators.","author":[{"dropping-particle":"","family":"Anderson","given":"C.","non-dropping-particle":"","parse-names":false,"suffix":""},{"dropping-particle":"","family":"John","given":"O.P.","non-dropping-particle":"","parse-names":false,"suffix":""},{"dropping-particle":"","family":"Keltner","given":"D.","non-dropping-particle":"","parse-names":false,"suffix":""},{"dropping-particle":"","family":"Kring","given":"A.M.","non-dropping-particle":"","parse-names":false,"suffix":""}],"container-title":"Journal of personality and social psychology","id":"ITEM-2","issue":"1","issued":{"date-parts":[["2001"]]},"page":"116-132","title":"Who attains social status? Effects of personality and physical attractiveness in social groups","type":"article-journal","volume":"81"},"uris":["http://www.mendeley.com/documents/?uuid=091308d1-cbf8-4c5d-9698-07a5a123ce07","http://www.mendeley.com/documents/?uuid=d3382be3-6225-46df-b2a8-82bad568131e"]},{"id":"ITEM-3","itemData":{"DOI":"10.1086/318966","ISSN":"00029602","abstract":"In this article, two experiments support status construction theory's claim that interaction spreads status beliefs through behavior, creating a diffusion process that makes widely shared beliefs possible. The first demonstrates that people who hold a status belief can \"teach\" it by treating the other in accord with the belief. The second shows that third-party participants who witness such behavioral treatments also acquire the status belief. The first experiment also verifies a general mechanism by which interaction creates status beliefs: nominally different participants developed shared status beliefs about the difference from the repeated enactment of influence hierarchies corresponding to the difference. This general mechanism suggests that any structural condition that gives one group a systematic advantage in gaining influence over another group in intergroup encounters will foster the development of widely shared status beliefs favoring the advantaged group.","author":[{"dropping-particle":"","family":"Ridgeway","given":"Cecilia L.","non-dropping-particle":"","parse-names":false,"suffix":""},{"dropping-particle":"","family":"Erickson","given":"Kristan Glasgow","non-dropping-particle":"","parse-names":false,"suffix":""}],"container-title":"American Journal of Sociology","id":"ITEM-3","issue":"3","issued":{"date-parts":[["2000"]]},"page":"579-615","title":"Creating and spreading status beliefs","type":"article-journal","volume":"10"},"uris":["http://www.mendeley.com/documents/?uuid=d0c7c5e2-f1d1-481f-99dc-b7304821d5a0","http://www.mendeley.com/documents/?uuid=ccea6619-54d2-4974-afd3-4fd0b3e6288f"]}],"mendeley":{"formattedCitation":"(Anderson, John, Keltner, &amp; Kring, 2001; Blau, 1964; Ridgeway &amp; Erickson, 2000)","plainTextFormattedCitation":"(Anderson, John, Keltner, &amp; Kring, 2001; Blau, 1964; Ridgeway &amp; Erickson, 2000)","previouslyFormattedCitation":"(Anderson, John, Keltner, &amp; Kring, 2001; Blau, 1964; Ridgeway &amp; Erickson, 2000)"},"properties":{"noteIndex":0},"schema":"https://github.com/citation-style-language/schema/raw/master/csl-citation.json"}</w:instrText>
      </w:r>
      <w:r w:rsidR="00A732CC">
        <w:fldChar w:fldCharType="separate"/>
      </w:r>
      <w:r w:rsidR="00814EAA" w:rsidRPr="00814EAA">
        <w:rPr>
          <w:noProof/>
        </w:rPr>
        <w:t>(Anderson, John, Keltner, &amp; Kring, 2001; Blau, 1964; Ridgeway &amp; Erickson, 2000)</w:t>
      </w:r>
      <w:r w:rsidR="00A732CC">
        <w:fldChar w:fldCharType="end"/>
      </w:r>
      <w:r w:rsidR="00A732CC">
        <w:t xml:space="preserve">. </w:t>
      </w:r>
    </w:p>
    <w:p w14:paraId="4DCCC258" w14:textId="0536156F" w:rsidR="003B2E35" w:rsidRDefault="0039527A" w:rsidP="005A2721">
      <w:r>
        <w:t xml:space="preserve">The gender difference in </w:t>
      </w:r>
      <w:r w:rsidR="00954D33">
        <w:t xml:space="preserve">the </w:t>
      </w:r>
      <w:r>
        <w:t>external status</w:t>
      </w:r>
      <w:r w:rsidR="00954D33">
        <w:t xml:space="preserve"> of stars</w:t>
      </w:r>
      <w:r>
        <w:t xml:space="preserve"> may affect knowledge recombination breadth by impacting teams’ ability to access remote external knowledge</w:t>
      </w:r>
      <w:r w:rsidR="00572B65">
        <w:t>.</w:t>
      </w:r>
      <w:r>
        <w:t xml:space="preserve"> </w:t>
      </w:r>
      <w:r w:rsidR="00572B65">
        <w:t xml:space="preserve">This is because </w:t>
      </w:r>
      <w:r>
        <w:t>social network size and centrality as well as the capacity to undertake potentially time</w:t>
      </w:r>
      <w:r w:rsidR="00954D33">
        <w:t>-</w:t>
      </w:r>
      <w:r>
        <w:t xml:space="preserve"> and resource-intensive search processes are key </w:t>
      </w:r>
      <w:r w:rsidR="001B1BF2">
        <w:t>determinants</w:t>
      </w:r>
      <w:r>
        <w:t xml:space="preserve"> of the ability to obtain remote knowledge</w:t>
      </w:r>
      <w:r w:rsidR="0047283B">
        <w:t xml:space="preserve"> </w:t>
      </w:r>
      <w:r w:rsidR="0047283B">
        <w:fldChar w:fldCharType="begin" w:fldLock="1"/>
      </w:r>
      <w:r w:rsidR="00814EAA">
        <w:instrText>ADDIN CSL_CITATION {"citationItems":[{"id":"ITEM-1","itemData":{"DOI":"10.1287/orsc.2019.1328","ISSN":"1047-7039","abstract":"Most innovation builds closely on existing knowledge and technology, delivering incremental advances on existing ideas, products, and processes. Sometimes, however, inventors make discoveries that seem very distant from what is known and well understood. How do individuals and firms explore such uncharted technological terrain? This paper extends research on knowledge networks and innovation to propose three main processes of knowledge creation that are more likely to result in discoveries that are distant from existing inventions: long search paths, scientific reasoning, and distant recombination. We explore these processes with a combination of a large and unique data set on outlier patents filed at the U.S. Patent and Trademark Office and interviews with inventors of outlier patents. Our exploratory analysis suggests that there are significant differences in the inventor teams, assignees, and search processes that result in outlier patents. These results have important implications for managers who wish to encourage a more exploratory search for breakthrough innovation.","author":[{"dropping-particle":"","family":"Kneeland","given":"Madeline K.","non-dropping-particle":"","parse-names":false,"suffix":""},{"dropping-particle":"","family":"Schilling","given":"Melissa A.","non-dropping-particle":"","parse-names":false,"suffix":""},{"dropping-particle":"","family":"Aharonson","given":"Barak S.","non-dropping-particle":"","parse-names":false,"suffix":""}],"container-title":"Organization Science","id":"ITEM-1","issue":"3","issued":{"date-parts":[["2020","5","1"]]},"page":"535-557","publisher":"INFORMS Inst.for Operations Res.and the Management Sciences","title":"Exploring uncharted territory: knowledge search processes in the origination of outlier innovation","type":"article-journal","volume":"31"},"uris":["http://www.mendeley.com/documents/?uuid=9b8191df-1f4c-3a35-af02-801d6fab7f7b"]},{"id":"ITEM-2","itemData":{"DOI":"10.5465/AMR.2003.8925236","ISSN":"03637425","abstract":"We explore the association between the context of social relationships and individual creativity. We go beyond a one-dimensional treatment of social relationships, highlighting the importance of both static and dynamic social network concepts. We argue that weaker ties are generally but not always beneficial for creativity, propose the network positions that facilitate and constrain creative work, and describe three moderators. A spiraling model is presented, capturing the cyclical relationship between creativity and network position. Collectively, our propositions describe an individual's creative life cycle in terms of network position.","author":[{"dropping-particle":"","family":"Perry-Smith","given":"Jill E.","non-dropping-particle":"","parse-names":false,"suffix":""},{"dropping-particle":"","family":"Shalley","given":"Christina E.","non-dropping-particle":"","parse-names":false,"suffix":""}],"container-title":"Academy of Management Review","id":"ITEM-2","issue":"1","issued":{"date-parts":[["2003"]]},"page":"89-106","title":"The social side of creativity: A static and dynamic social network perspective","type":"article-journal","volume":"28"},"uris":["http://www.mendeley.com/documents/?uuid=6413a0e8-4dc5-4f7e-9bc0-e8b1cb2bf43a"]}],"mendeley":{"formattedCitation":"(Kneeland, Schilling, &amp; Aharonson, 2020; Perry-Smith &amp; Shalley, 2003)","manualFormatting":"(e.g., Kneeland, Schilling, &amp; Aharonson, 2020; Perry-Smith &amp; Shalley, 2003)","plainTextFormattedCitation":"(Kneeland, Schilling, &amp; Aharonson, 2020; Perry-Smith &amp; Shalley, 2003)","previouslyFormattedCitation":"(Kneeland, Schilling, &amp; Aharonson, 2020; Perry-Smith &amp; Shalley, 2003)"},"properties":{"noteIndex":0},"schema":"https://github.com/citation-style-language/schema/raw/master/csl-citation.json"}</w:instrText>
      </w:r>
      <w:r w:rsidR="0047283B">
        <w:fldChar w:fldCharType="separate"/>
      </w:r>
      <w:r w:rsidR="0047283B" w:rsidRPr="0047283B">
        <w:rPr>
          <w:noProof/>
        </w:rPr>
        <w:t>(</w:t>
      </w:r>
      <w:r w:rsidR="0047283B">
        <w:rPr>
          <w:noProof/>
        </w:rPr>
        <w:t xml:space="preserve">e.g., </w:t>
      </w:r>
      <w:r w:rsidR="0047283B" w:rsidRPr="0047283B">
        <w:rPr>
          <w:noProof/>
        </w:rPr>
        <w:t>Kneeland, Schilling, &amp; Aharonson, 2020; Perry-Smith &amp; Shalley, 2003)</w:t>
      </w:r>
      <w:r w:rsidR="0047283B">
        <w:fldChar w:fldCharType="end"/>
      </w:r>
      <w:r w:rsidR="0047283B">
        <w:t xml:space="preserve">. </w:t>
      </w:r>
      <w:r>
        <w:t xml:space="preserve">Moreover, status is believed to be transferable, such that an actor’s status </w:t>
      </w:r>
      <w:r w:rsidR="008F2235">
        <w:t>“</w:t>
      </w:r>
      <w:r>
        <w:t>leaks to</w:t>
      </w:r>
      <w:r w:rsidR="008F2235">
        <w:t>”</w:t>
      </w:r>
      <w:r>
        <w:t xml:space="preserve"> or impacts that of her/his associates </w:t>
      </w:r>
      <w:r>
        <w:fldChar w:fldCharType="begin" w:fldLock="1"/>
      </w:r>
      <w:r w:rsidR="00814EAA">
        <w:instrText>ADDIN CSL_CITATION {"citationItems":[{"id":"ITEM-1","itemData":{"author":[{"dropping-particle":"","family":"Podolny","given":"Joel M.","non-dropping-particle":"","parse-names":false,"suffix":""}],"id":"ITEM-1","issued":{"date-parts":[["2005"]]},"publisher":"Princeton University Press.","publisher-place":"Princeton, NJ","title":"Status Signals","type":"book"},"uris":["http://www.mendeley.com/documents/?uuid=d81c2a76-8463-4b6e-88d0-015cf4b4e96c"]}],"mendeley":{"formattedCitation":"(Podolny, 2005)","plainTextFormattedCitation":"(Podolny, 2005)","previouslyFormattedCitation":"(Podolny, 2005)"},"properties":{"noteIndex":0},"schema":"https://github.com/citation-style-language/schema/raw/master/csl-citation.json"}</w:instrText>
      </w:r>
      <w:r>
        <w:fldChar w:fldCharType="separate"/>
      </w:r>
      <w:r w:rsidR="00814EAA" w:rsidRPr="00814EAA">
        <w:rPr>
          <w:noProof/>
        </w:rPr>
        <w:t>(Podolny, 2005)</w:t>
      </w:r>
      <w:r>
        <w:fldChar w:fldCharType="end"/>
      </w:r>
      <w:r>
        <w:t xml:space="preserve">. </w:t>
      </w:r>
      <w:r w:rsidR="00DB6251">
        <w:t>That is, a</w:t>
      </w:r>
      <w:r>
        <w:t xml:space="preserve">ssociation with high status actors routinely benefits the status and organizational outcomes of low status individuals who affiliate with them </w:t>
      </w:r>
      <w:r>
        <w:fldChar w:fldCharType="begin" w:fldLock="1"/>
      </w:r>
      <w:r w:rsidR="00814EAA">
        <w:instrText>ADDIN CSL_CITATION {"citationItems":[{"id":"ITEM-1","itemData":{"DOI":"10.2307/1881782","ISSN":"00335533","abstract":"This paper derives an equilibrium price-quality schedule for markets in which buyers cannot observe product quality prior to purchase. In such markets there is an incentive for sellers to reduce quality and take short-run gains before buyers catch on. In order to forestall such quality cutting, the price-quality schedule involves high quality items selling at a premium above their cost. This premium also serves the function of compensating sellers for their investment in reputation. The effects of improved consumer information and of a minimum quality standard on the equilibrium price-quality schedule are studied. In general, optimal quality standards exclude from the market items some consumers would like to buy. [ABSTRACT FROM AUTHOR]","author":[{"dropping-particle":"","family":"Shapiro","given":"Carl","non-dropping-particle":"","parse-names":false,"suffix":""}],"container-title":"The Quarterly Journal of Economics","id":"ITEM-1","issue":"4","issued":{"date-parts":[["1983"]]},"page":"659","title":"Premiums for high quality products as returns to reputations","type":"article-journal","volume":"98"},"uris":["http://www.mendeley.com/documents/?uuid=6b71c793-c180-4470-8a30-0b0683ae85f4"]}],"mendeley":{"formattedCitation":"(Shapiro, 1983)","manualFormatting":"(e.g., Shapiro, 1983)","plainTextFormattedCitation":"(Shapiro, 1983)","previouslyFormattedCitation":"(Shapiro, 1983)"},"properties":{"noteIndex":0},"schema":"https://github.com/citation-style-language/schema/raw/master/csl-citation.json"}</w:instrText>
      </w:r>
      <w:r>
        <w:fldChar w:fldCharType="separate"/>
      </w:r>
      <w:r w:rsidRPr="00C95E75">
        <w:rPr>
          <w:noProof/>
        </w:rPr>
        <w:t>(</w:t>
      </w:r>
      <w:r>
        <w:rPr>
          <w:noProof/>
        </w:rPr>
        <w:t xml:space="preserve">e.g., </w:t>
      </w:r>
      <w:r w:rsidRPr="00C95E75">
        <w:rPr>
          <w:noProof/>
        </w:rPr>
        <w:t>Shapiro, 1983)</w:t>
      </w:r>
      <w:r>
        <w:fldChar w:fldCharType="end"/>
      </w:r>
      <w:r>
        <w:t>. Thus, gender differences in stars’ status are likely to leak to</w:t>
      </w:r>
      <w:r w:rsidR="00290C91">
        <w:t xml:space="preserve"> fellow</w:t>
      </w:r>
      <w:r>
        <w:t xml:space="preserve"> team</w:t>
      </w:r>
      <w:r w:rsidR="00290C91">
        <w:t xml:space="preserve"> member</w:t>
      </w:r>
      <w:r>
        <w:t>s</w:t>
      </w:r>
      <w:r w:rsidR="001B1BF2">
        <w:t>,</w:t>
      </w:r>
      <w:r>
        <w:t xml:space="preserve"> such that teams with male stars may enjoy cumulatively higher status than teams with female stars, thereby further exacerbating differences in access to resources and external knowledge.</w:t>
      </w:r>
      <w:r w:rsidRPr="00230E37">
        <w:t xml:space="preserve"> </w:t>
      </w:r>
    </w:p>
    <w:p w14:paraId="4BDE8049" w14:textId="5DF7D1F0" w:rsidR="00B33810" w:rsidRDefault="00B33810" w:rsidP="00B33810">
      <w:bookmarkStart w:id="2" w:name="_Hlk58595986"/>
      <w:r>
        <w:t>Lower status of female stars compared to male stars may</w:t>
      </w:r>
      <w:r w:rsidR="008F2235">
        <w:t xml:space="preserve"> </w:t>
      </w:r>
      <w:r>
        <w:t xml:space="preserve">also have implications for internal team </w:t>
      </w:r>
      <w:r w:rsidR="00D1581F">
        <w:t xml:space="preserve">knowledge </w:t>
      </w:r>
      <w:r>
        <w:t>processes.</w:t>
      </w:r>
      <w:r w:rsidRPr="00B33810">
        <w:t xml:space="preserve"> </w:t>
      </w:r>
      <w:r>
        <w:t>Status-induced hierarchical differences in teams can be detrimental to team processes as they constrain the integration of knowledge, especially of knowledge that contradicts or diverges from that of the high-status individual</w:t>
      </w:r>
      <w:r w:rsidRPr="00B33810">
        <w:t xml:space="preserve"> </w:t>
      </w:r>
      <w:r>
        <w:fldChar w:fldCharType="begin" w:fldLock="1"/>
      </w:r>
      <w:r w:rsidR="00814EAA">
        <w:instrText>ADDIN CSL_CITATION {"citationItems":[{"id":"ITEM-1","itemData":{"DOI":"10.1287/orsc.1090.0452","ISSN":"10477039","abstract":"Past research suggests that power asymmetry within teams can have a stifling effect on team learning and performance. We argue here that this effect is contingent on whether power advantages within a team are used to advance individual or collective interests. This study considers the moderating role of one factor that can influence the individual or collective orientation of team members-the type of performance feedback that a team receives. We propose that whereas individual feedback reinforces the negative effects of power asymmetry on team learning, group feedback fosters a collective orientation within a team that transforms power differences into a stimulus for team learning. Analysis of multisource, multimethod data obtained from 218 individuals in 46 teams provided support for these hypotheses. Results also suggested that team learning mediated the relationship between power asymmetry and team performance. These findings suggest that power asymmetry can be a resource for and not just an obstacle to team learning in power-asymmetric teams. © 2010 INFORMS.","author":[{"dropping-particle":"","family":"Vegt","given":"Gerben S.","non-dropping-particle":"Van der","parse-names":false,"suffix":""},{"dropping-particle":"","family":"Jong","given":"Simon B.","non-dropping-particle":"de","parse-names":false,"suffix":""},{"dropping-particle":"","family":"Bunderson","given":"J. Stuart","non-dropping-particle":"","parse-names":false,"suffix":""},{"dropping-particle":"","family":"Molleman","given":"Eric","non-dropping-particle":"","parse-names":false,"suffix":""}],"container-title":"Organization Science","id":"ITEM-1","issue":"2","issued":{"date-parts":[["2010"]]},"page":"347-361","title":"Power asymmetry and learning in teams: The moderating role of performance feedback","type":"article-journal","volume":"21"},"uris":["http://www.mendeley.com/documents/?uuid=4bbe4814-c5a3-43c4-9b9c-d7505e5a7b6f"]},{"id":"ITEM-2","itemData":{"DOI":"10.5465/amr.2016.0334","ISSN":"03637425","abstract":"In this article I present a theoretical model of how relationships among members of groups of knowledge workers shape the way new epistemic technologies, which are tools that play a central role in the ongoing construction of knowledge, are encountered. In particular, I theorize about how status differences influence interactions among group members. These interactions shape whether users engage in questioning practices, which involve examining the embedded assumptions within the technology, or accepting practices, where users trust the technology's outputs without seeking to understand the assumptions that may influence their content. I then consider the consequences of these practices on the novelty of knowledge outcomes. Because knowledge work continues to rely upon increasingly complex epistemic technologies, I suggest that the salience of status differences is of central importance to the production of new and updated knowledge.","author":[{"dropping-particle":"","family":"Anthony","given":"Callen","non-dropping-particle":"","parse-names":false,"suffix":""}],"container-title":"Academy of Management Review","id":"ITEM-2","issue":"4","issued":{"date-parts":[["2018"]]},"page":"661-679","title":"To question or accept? How status differences influence responses to new epistemic technologies in knowledge work","type":"article-journal","volume":"43"},"uris":["http://www.mendeley.com/documents/?uuid=cd054347-d5d3-46de-aa30-99eda37e23aa"]}],"mendeley":{"formattedCitation":"(Anthony, 2018; Van der Vegt, de Jong, Bunderson, &amp; Molleman, 2010)","plainTextFormattedCitation":"(Anthony, 2018; Van der Vegt, de Jong, Bunderson, &amp; Molleman, 2010)","previouslyFormattedCitation":"(Anthony, 2018; Van der Vegt, de Jong, Bunderson, &amp; Molleman, 2010)"},"properties":{"noteIndex":0},"schema":"https://github.com/citation-style-language/schema/raw/master/csl-citation.json"}</w:instrText>
      </w:r>
      <w:r>
        <w:fldChar w:fldCharType="separate"/>
      </w:r>
      <w:r w:rsidR="00814EAA" w:rsidRPr="00814EAA">
        <w:rPr>
          <w:noProof/>
        </w:rPr>
        <w:t>(Anthony, 2018; Van der Vegt, de Jong, Bunderson, &amp; Molleman, 2010)</w:t>
      </w:r>
      <w:r>
        <w:fldChar w:fldCharType="end"/>
      </w:r>
      <w:r>
        <w:t>.</w:t>
      </w:r>
      <w:r w:rsidR="00D1581F">
        <w:t xml:space="preserve"> </w:t>
      </w:r>
      <w:r>
        <w:t>L</w:t>
      </w:r>
      <w:r w:rsidR="003B2E35">
        <w:t>arge status differentials in teams with stars are associated with</w:t>
      </w:r>
      <w:r w:rsidR="006D4487">
        <w:t xml:space="preserve"> an increasing presence of</w:t>
      </w:r>
      <w:r w:rsidR="003B2E35">
        <w:t xml:space="preserve"> star-centrism</w:t>
      </w:r>
      <w:r>
        <w:t xml:space="preserve"> </w:t>
      </w:r>
      <w:r>
        <w:fldChar w:fldCharType="begin" w:fldLock="1"/>
      </w:r>
      <w:r w:rsidR="00814EAA">
        <w:instrText>ADDIN CSL_CITATION {"citationItems":[{"id":"ITEM-1","itemData":{"DOI":"10.1287/orsc.2015.0969","ISSN":"15265455","abstract":"The access to the diverse information that teams gain through the geographic dispersion of their members is argued to increase the likelihood that they will produce more novel innovations. Although valuable, such dispersion also increases communication and coordination costs, making it difficult to utilize this information in developing new knowledge. To resolve this theoretical dilemma, we investigate the conditions that alter the effect of team members' geographic dispersion on innovative novelty. Based on an investigation of 7,162 scientific teams in the biotechnology sector between 1973 and 1999, we argue and demonstrate that the degree of teams' innovative novelty is curvilinear: it increases and then decreases as the geographic dispersion of the team members increases. We also establish that the effect of geographic dispersion on the novelty of a team's innovation depends on the team's social environment. The greater the relational strength among research and development team members, the stronger the initial positive effect of their geographic dispersion, and the weaker the negative effect at higher levels of dispersion. Furthermore, the greater the status asymmetry in a team, the weaker the initial positive effect of geographic dispersion, and the stronger the negative effect at high levels of dispersion. These results offer insights into the social mechanisms that can facilitate the realization of the potential embedded in dispersed teams to generate novel innovation.","author":[{"dropping-particle":"","family":"Tzabbar","given":"Daniel","non-dropping-particle":"","parse-names":false,"suffix":""},{"dropping-particle":"","family":"Vestal","given":"Alex","non-dropping-particle":"","parse-names":false,"suffix":""}],"container-title":"Organization Science","id":"ITEM-1","issue":"3","issued":{"date-parts":[["2015"]]},"page":"811-829","title":"Bridging the social chasm in geographically distributed R&amp;D teams: The moderating effects of relational strength and status asymmetry on the novelty of team innovation","type":"article-journal","volume":"26"},"uris":["http://www.mendeley.com/documents/?uuid=5c5a81fc-9a52-4a61-8fbc-9c0d2b822e64"]},{"id":"ITEM-2","itemData":{"DOI":"10.5465/amr.2010.0403","ISSN":"03637425","abstract":"Because star employees are more visible and productive, they are likely to be sought out by others and develop an information advantage through their abundant social capital. However, not all of the information effects of stardom are beneficial. We theorize that stars' robust social capital may produce an unintended side effect of information overload. We highlight the role of human resource management in minimizing the effects of information overload for stars, and we discuss avenues for future research. © 2012 Academy of Management Review.","author":[{"dropping-particle":"","family":"Oldroyd","given":"James B.","non-dropping-particle":"","parse-names":false,"suffix":""},{"dropping-particle":"","family":"Morris","given":"Shad S.","non-dropping-particle":"","parse-names":false,"suffix":""}],"container-title":"Academy of Management Review","id":"ITEM-2","issue":"3","issued":{"date-parts":[["2012","7","1"]]},"page":"396-418","title":"Catching falling stars: A human resource response to social capital's detrimental effect of information overload on star employees","type":"article-journal","volume":"37"},"uris":["http://www.mendeley.com/documents/?uuid=9afaa61c-afd3-3893-8fcf-bc5f7269f6d9"]},{"id":"ITEM-3","itemData":{"DOI":"10.1287/orsc.1110.0734","ISSN":"10477039","abstract":"We introduce status conflicts-defined as disputes over people's relative status (i.e., respect) positions in their group's social hierarchy-as a key group process that affects task group performance. Using mixed research methods, we qualitatively identify the characteristics of status conflicts, validate a four-item survey scale that distinctly measures status conflict, and investigate the relationship between status conflict and group performance. We determine that status conflict exerts a significant negative main effect, moderates the effects of task conflict on group performance, and hurts performance by undermining information sharing more than other types of conflict do. © 2012 INFORMS.","author":[{"dropping-particle":"","family":"Bendersky","given":"Corinne","non-dropping-particle":"","parse-names":false,"suffix":""},{"dropping-particle":"","family":"Hays","given":"Nicholas A.","non-dropping-particle":"","parse-names":false,"suffix":""}],"container-title":"Organization Science","id":"ITEM-3","issue":"2","issued":{"date-parts":[["2012","3","22"]]},"page":"323-340","publisher":" INFORMS ","title":"Status conflict in groups","type":"article-journal","volume":"23"},"uris":["http://www.mendeley.com/documents/?uuid=6619bf9e-3226-3963-80bf-c38ab2d8a566"]}],"mendeley":{"formattedCitation":"(Bendersky &amp; Hays, 2012; Oldroyd &amp; Morris, 2012; Tzabbar &amp; Vestal, 2015)","plainTextFormattedCitation":"(Bendersky &amp; Hays, 2012; Oldroyd &amp; Morris, 2012; Tzabbar &amp; Vestal, 2015)","previouslyFormattedCitation":"(Bendersky &amp; Hays, 2012; Oldroyd &amp; Morris, 2012; Tzabbar &amp; Vestal, 2015)"},"properties":{"noteIndex":0},"schema":"https://github.com/citation-style-language/schema/raw/master/csl-citation.json"}</w:instrText>
      </w:r>
      <w:r>
        <w:fldChar w:fldCharType="separate"/>
      </w:r>
      <w:r w:rsidR="00814EAA" w:rsidRPr="00814EAA">
        <w:rPr>
          <w:noProof/>
        </w:rPr>
        <w:t>(Bendersky &amp; Hays, 2012; Oldroyd &amp; Morris, 2012; Tzabbar &amp; Vestal, 2015)</w:t>
      </w:r>
      <w:r>
        <w:fldChar w:fldCharType="end"/>
      </w:r>
      <w:r w:rsidR="00D1581F">
        <w:t>.</w:t>
      </w:r>
      <w:r w:rsidR="003B2E35">
        <w:t xml:space="preserve"> </w:t>
      </w:r>
      <w:r>
        <w:t>Due to smaller perceived status differentials</w:t>
      </w:r>
      <w:r w:rsidR="00D1581F">
        <w:t xml:space="preserve"> between the star and the non-star team members</w:t>
      </w:r>
      <w:r>
        <w:t>, t</w:t>
      </w:r>
      <w:r w:rsidRPr="007975A6">
        <w:t xml:space="preserve">eams with female stars </w:t>
      </w:r>
      <w:r w:rsidRPr="007975A6">
        <w:lastRenderedPageBreak/>
        <w:t xml:space="preserve">may be less </w:t>
      </w:r>
      <w:r>
        <w:t>constrained</w:t>
      </w:r>
      <w:r w:rsidRPr="007975A6">
        <w:t xml:space="preserve"> by the problem of star-centrism</w:t>
      </w:r>
      <w:r>
        <w:t xml:space="preserve"> and hierarchical segregation</w:t>
      </w:r>
      <w:r w:rsidR="008F2235" w:rsidRPr="008F2235">
        <w:t xml:space="preserve"> </w:t>
      </w:r>
      <w:r w:rsidR="008F2235">
        <w:t>than those with male stars</w:t>
      </w:r>
      <w:r w:rsidRPr="007975A6">
        <w:t xml:space="preserve">, thereby </w:t>
      </w:r>
      <w:r w:rsidRPr="006B56AA">
        <w:t xml:space="preserve">avoiding excessive reliance </w:t>
      </w:r>
      <w:r>
        <w:t>on</w:t>
      </w:r>
      <w:r w:rsidRPr="006B56AA">
        <w:t xml:space="preserve"> stars’ knowledge base</w:t>
      </w:r>
      <w:r>
        <w:t xml:space="preserve"> and facilitating the integration of diverse knowledge across the team </w:t>
      </w:r>
      <w:r>
        <w:fldChar w:fldCharType="begin" w:fldLock="1"/>
      </w:r>
      <w:r w:rsidR="00814EAA">
        <w:instrText>ADDIN CSL_CITATION {"citationItems":[{"id":"ITEM-1","itemData":{"DOI":"10.1287/orsc.1060.0200","ISSN":"10477039","abstract":"This paper introduces a model of collective creativity that explains how the locus of creative problem solving shifts, at times, from the individual to the interactions of a collective. The model is grounded in observations, interviews, informal conversations, and archival data gathered in intensive field studies of work in professional service firms. The evidence suggests that although some creative solutions can be seen as the products of individual insight, others should be regarded as the products of a momentary collective process. Such collective creativity reflects a qualitative shift in the nature of the creative process, as the comprehension of a problematic situation and the generation of creative solutions draw from - and reframe - the past experiences of participants in ways that lead to new and valuable insights. This research investigates the origins of such moments, and builds a model of collective creativity that identifies the precipitating roles played by four types of social interaction: help seeking, help giving, reflective refraining, and reinforcing. Implications of this research include shifting the emphasis in research and management of creativity from identifying and managing creative individuals to understanding the social context and developing interactive approaches to creativity, and from a focus on relatively constant contextual variables to the alignment of fluctuating variables and their precipitation of momentary phenomena. © 2006 INFORMS.","author":[{"dropping-particle":"","family":"Hargadon","given":"Andrew B.","non-dropping-particle":"","parse-names":false,"suffix":""},{"dropping-particle":"","family":"Bechky","given":"Beth A.","non-dropping-particle":"","parse-names":false,"suffix":""}],"container-title":"Organization Science","id":"ITEM-1","issue":"4","issued":{"date-parts":[["2006"]]},"page":"484-500","title":"When collections of creatives become creative collectives: A field study of problem solving at work","type":"article-journal","volume":"17"},"uris":["http://www.mendeley.com/documents/?uuid=5198b4ed-2b69-4254-9937-acc013bfe86e"]},{"id":"ITEM-2","itemData":{"DOI":"10.1126/science.1136099","ISSN":"00368075","PMID":"17431139","abstract":"We have used 19.9 million papers over 5 decades and 2.1 million patents to demonstrate that teams increasingly dominate solo authors in the production of knowledge. Research is increasingly done in teams across nearly all fields. Teams typically produce more frequently cited research than individuals do, and this advantage has been increasing over time. Teams now also produce the exceptionally high-impact research, even where that distinction was once the domain of solo authors. These results are detailed for sciences and engineering, social sciences, arts and humanities, and patents, suggesting that the process of knowledge creation has fundamentally changed.","author":[{"dropping-particle":"","family":"Wuchty","given":"Stefan","non-dropping-particle":"","parse-names":false,"suffix":""},{"dropping-particle":"","family":"Jones","given":"Benjamin F.","non-dropping-particle":"","parse-names":false,"suffix":""},{"dropping-particle":"","family":"Uzzi","given":"Brian","non-dropping-particle":"","parse-names":false,"suffix":""}],"container-title":"Science","id":"ITEM-2","issue":"5827","issued":{"date-parts":[["2007","5","18"]]},"page":"1036-1039","title":"The increasing dominance of teams in production of knowledge","type":"article-journal","volume":"316"},"uris":["http://www.mendeley.com/documents/?uuid=7730d42d-7bcc-3752-be44-80bd6d398cc2"]},{"id":"ITEM-3","itemData":{"DOI":"10.5465/amr.2012.0224","ISSN":"03637425","abstract":"This article provides insight into how some groups achieve extraordinary levels of creativity by reconsidering the collective process through which new ideas develop. Previous research has been premised on a model in which idea generation stimulated by divergent input increases the variance in ideas a group generates and therefore increases the chance that one of the group's ideas will be a radical, breakthrough creative product. In contrast, I present a dialectical model in which the integration of group members' perspectives (which I label creative synthesis) is the foundation for new ideas. I propose that the process of creative synthesis improves the chance that each of a group's ideas is a breakthrough. I elaborate the process facilitators of creative synthesis and the implications of the dialectical model for understanding extraordinary group creativity. Creative synthesis provides an alternative way for groups to combine their cognitive, social, and environmental resources into extraordinary output. Copyright of the Academy of Management, all rights reserved.","author":[{"dropping-particle":"","family":"Harvey","given":"Sarah","non-dropping-particle":"","parse-names":false,"suffix":""}],"container-title":"Academy of Management Review","id":"ITEM-3","issue":"3","issued":{"date-parts":[["2014"]]},"page":"324-343","title":"Creative synthesis: Exploring the process of extraordinary group creativity","type":"article-journal","volume":"39"},"uris":["http://www.mendeley.com/documents/?uuid=17ddf7dd-ff59-478c-b46d-2fde89cd1cf4"]}],"mendeley":{"formattedCitation":"(Hargadon &amp; Bechky, 2006; Harvey, 2014; Wuchty, Jones, &amp; Uzzi, 2007)","plainTextFormattedCitation":"(Hargadon &amp; Bechky, 2006; Harvey, 2014; Wuchty, Jones, &amp; Uzzi, 2007)","previouslyFormattedCitation":"(Hargadon &amp; Bechky, 2006; Harvey, 2014; Wuchty, Jones, &amp; Uzzi, 2007)"},"properties":{"noteIndex":0},"schema":"https://github.com/citation-style-language/schema/raw/master/csl-citation.json"}</w:instrText>
      </w:r>
      <w:r>
        <w:fldChar w:fldCharType="separate"/>
      </w:r>
      <w:r w:rsidR="00814EAA" w:rsidRPr="00814EAA">
        <w:rPr>
          <w:noProof/>
        </w:rPr>
        <w:t>(Hargadon &amp; Bechky, 2006; Harvey, 2014; Wuchty, Jones, &amp; Uzzi, 2007)</w:t>
      </w:r>
      <w:r>
        <w:fldChar w:fldCharType="end"/>
      </w:r>
    </w:p>
    <w:bookmarkEnd w:id="2"/>
    <w:p w14:paraId="3A93CD0C" w14:textId="0B1F97FB" w:rsidR="0039527A" w:rsidRPr="00B30BA1" w:rsidRDefault="0039527A" w:rsidP="001E6427">
      <w:pPr>
        <w:pStyle w:val="Heading2"/>
      </w:pPr>
      <w:r>
        <w:t>Gender differences in the perception, characteristics</w:t>
      </w:r>
      <w:r w:rsidR="00F63A04">
        <w:t>,</w:t>
      </w:r>
      <w:r>
        <w:t xml:space="preserve"> and behavior of stars in teams</w:t>
      </w:r>
    </w:p>
    <w:p w14:paraId="58E64456" w14:textId="0372A744" w:rsidR="00712DAA" w:rsidRDefault="0039527A" w:rsidP="005A2721">
      <w:bookmarkStart w:id="3" w:name="_Hlk47606348"/>
      <w:r>
        <w:t>L</w:t>
      </w:r>
      <w:r w:rsidRPr="00B30BA1">
        <w:t xml:space="preserve">iterature </w:t>
      </w:r>
      <w:r>
        <w:t xml:space="preserve">in </w:t>
      </w:r>
      <w:r w:rsidRPr="00324BF9">
        <w:t>the field of psychology documents differences between men and women</w:t>
      </w:r>
      <w:r w:rsidR="00545F66">
        <w:t xml:space="preserve"> in terms of</w:t>
      </w:r>
      <w:r w:rsidRPr="00324BF9">
        <w:t xml:space="preserve"> </w:t>
      </w:r>
      <w:r w:rsidR="00D1581F">
        <w:t xml:space="preserve">perception, </w:t>
      </w:r>
      <w:r w:rsidRPr="00324BF9">
        <w:t>characteristics</w:t>
      </w:r>
      <w:r w:rsidR="00545F66">
        <w:t xml:space="preserve">, </w:t>
      </w:r>
      <w:r w:rsidR="00D1581F">
        <w:t xml:space="preserve">and </w:t>
      </w:r>
      <w:r w:rsidRPr="00324BF9">
        <w:t xml:space="preserve">behavior. </w:t>
      </w:r>
      <w:r>
        <w:t>S</w:t>
      </w:r>
      <w:r w:rsidRPr="00324BF9">
        <w:t>everal</w:t>
      </w:r>
      <w:r w:rsidRPr="00B30BA1">
        <w:t xml:space="preserve"> meta-analyses and cross-cultural comparisons</w:t>
      </w:r>
      <w:r>
        <w:t xml:space="preserve"> indicate</w:t>
      </w:r>
      <w:r w:rsidRPr="00B30BA1">
        <w:t xml:space="preserve"> significant gender differences in personality traits, with women reporting higher levels of agreeableness and warmth, and men reporting higher levels of assertiveness </w:t>
      </w:r>
      <w:r w:rsidRPr="00B30BA1">
        <w:fldChar w:fldCharType="begin" w:fldLock="1"/>
      </w:r>
      <w:r w:rsidR="00814EAA">
        <w:instrText>ADDIN CSL_CITATION {"citationItems":[{"id":"ITEM-1","itemData":{"DOI":"10.1111/j.1751-9004.2010.00320.x","ISSN":"1751-9004","abstract":"How big are gender differences in personality and interests, and how stable are these differences across cultures and over time? To answer these questions, I summarize data from two meta-analyses and three cross-cultural studies on gender differences in personality and interests. Results show that gender differences in Big Five personality traits are small to moderate, with the largest differences occurring for agreeableness and neuroticism (respective ds = 0.40 and 0.34; women higher than men). In contrast, gender differences on the peoplethings dimension of interests are very large (d = 1.18), with women more people-oriented and less thing-oriented than men. Gender differences in personality tend to be larger in gender-egalitarian societies than in gender- inegalitarian societies, a finding that contradicts social role theory but is consistent with evolution- ary, attributional, and social comparison theories. In contrast, gender differences in interests appear to be consistent across cultures and over time, a finding that suggests possible biologic influences.","author":[{"dropping-particle":"","family":"Lippa","given":"Richard A.","non-dropping-particle":"","parse-names":false,"suffix":""}],"container-title":"Social and Personality Psychology Compass","id":"ITEM-1","issue":"11","issued":{"date-parts":[["2010"]]},"page":"1098-1110","title":"Gender differences in personality and interests: When, where, and why?","type":"article-journal","volume":"4"},"uris":["http://www.mendeley.com/documents/?uuid=32580adf-3d56-4065-a2f2-862c83803caa"]},{"id":"ITEM-2","itemData":{"DOI":"10.1007/s10508-007-9267-z","ISSN":"00040002","abstract":"Analyzing a large international data set generated by a BBC Internet survey, I examined sex differences and sexual orientation differences in six personality traits: extraversion, agreeableness, neuroticism, disagreeable assertiveness, masculine versus feminine occupational preferences (MF-Occ), and self-ascribed masculinity-femininity (Self-MF). Consistent with previous research, sex differences and sexual orientation differences were largest for MF-Occ and for Self-MF. In general, heterosexual-homosexual differences mirrored sex differences in personality, with gay men shifted in female-typical and lesbians in male-typical directions. Bisexual men scored intermediate between heterosexual and gay men on MF-Occ; however, they were slightly more feminine than gay men on Self-MF. Bisexual women scored intermediate between heterosexual women and lesbians on both MF-Occ and Self-MF. Sex differences and sexual orientation differences in MF-Occ, Self-MF, and other personality traits were consistent across five nations/world regions (the UK, USA, Canada, Australia/New Zealand, and Western Europe), thereby suggesting a biological component to these differences. © 2007 Springer Science+Business Media, LLC.","author":[{"dropping-particle":"","family":"Lippa","given":"Richard A.","non-dropping-particle":"","parse-names":false,"suffix":""}],"container-title":"Archives of Sexual Behavior","id":"ITEM-2","issue":"1","issued":{"date-parts":[["2008"]]},"page":"173-187","title":"Sex differences and sexual orientation differences in personality: Findings from the BBC internet survey","type":"article-journal","volume":"37"},"uris":["http://www.mendeley.com/documents/?uuid=cf5b3c07-785a-4aae-aa4b-9b0ca052ad9b"]},{"id":"ITEM-3","itemData":{"DOI":"10.1037/0022-3514.81.2.322","ISSN":"00223514","PMID":"11519935","abstract":"Secondary analyses of Revised NEO Personality Inventory data from 26 cultures (N = 23,031) suggest that gender differences are small relative to individual variation within genders; differences are replicated across cultures for both college-age and adult samples, and differences are broadly consistent with gender stereotypes: Women reported themselves to be higher in Neuroticism, Agreeableness, Warmth, and Openness to Feelings, whereas men were higher in Assertiveness and Openness to Ideas. Contrary to predictions from evolutionary theory, the magnitude of gender differences varied across cultures. Contrary to predictions from the social role model, gender differences were most pronounced in European and American cultures in which traditional sex roles are minimized. Possible explanations for this surprising finding are discussed, including the attribution of masculine and feminine behaviors to roles rather than traits in traditional cultures.","author":[{"dropping-particle":"","family":"Costa","given":"Paul T.","non-dropping-particle":"","parse-names":false,"suffix":""},{"dropping-particle":"","family":"Terracciano","given":"Antonio","non-dropping-particle":"","parse-names":false,"suffix":""},{"dropping-particle":"","family":"McCrae","given":"Robert R.","non-dropping-particle":"","parse-names":false,"suffix":""}],"container-title":"Journal of Personality and Social Psychology","id":"ITEM-3","issue":"2","issued":{"date-parts":[["2001"]]},"page":"322-331","title":"Gender differences in personality traits across cultures: Robust and surprising findings","type":"article-journal","volume":"81"},"uris":["http://www.mendeley.com/documents/?uuid=60653a62-6de1-4be0-a712-3459894f8e17"]},{"id":"ITEM-4","itemData":{"DOI":"10.1037/0022-3514.94.1.168","ISSN":"00223514","abstract":"Previous research suggested that sex differences in personality traits are larger in prosperous, healthy, and egalitarian cultures in which women have more opportunities equal with those of men. In this article, the authors report cross-cultural findings in which this unintuitive result was replicated across samples from 55 nations (N = 17,637). On responses to the Big Five Inventory, women reported higher levels of neuroticism, extraversion, agreeableness, and conscientiousness than did men across most nations. These findings converge with previous studies in which different Big Five measures and more limited samples of nations were used. Overall, higher levels of human development-including long and healthy life, equal access to knowledge and education, and economic wealth-were the main nation-level predictors of larger sex differences in personality. Changes in men's personality traits appeared to be the primary cause of sex difference variation across cultures. It is proposed that heightened levels of sexual dimorphism result from personality traits of men and women being less constrained and more able to naturally diverge in developed nations. In less fortunate social and economic conditions, innate personality differences between men and women may be attenuated. © 2008 American Psychological Association.","author":[{"dropping-particle":"","family":"Schmitt","given":"David P.","non-dropping-particle":"","parse-names":false,"suffix":""},{"dropping-particle":"","family":"Realo","given":"Anu","non-dropping-particle":"","parse-names":false,"suffix":""},{"dropping-particle":"","family":"Voracek","given":"Martin","non-dropping-particle":"","parse-names":false,"suffix":""},{"dropping-particle":"","family":"Allik","given":"Jüri","non-dropping-particle":"","parse-names":false,"suffix":""}],"container-title":"Journal of Personality and Social Psychology","id":"ITEM-4","issue":"1","issued":{"date-parts":[["2008"]]},"page":"168-182","title":"Why can't a man be more like a woman? Sex differences in Big Five personality traits across 55 cultures","type":"article-journal","volume":"94"},"uris":["http://www.mendeley.com/documents/?uuid=d755ad80-930d-43b2-8b36-454b6e6e5d6c"]}],"mendeley":{"formattedCitation":"(Costa, Terracciano, &amp; McCrae, 2001; Lippa, 2008, 2010; Schmitt, Realo, Voracek, &amp; Allik, 2008)","plainTextFormattedCitation":"(Costa, Terracciano, &amp; McCrae, 2001; Lippa, 2008, 2010; Schmitt, Realo, Voracek, &amp; Allik, 2008)","previouslyFormattedCitation":"(Costa, Terracciano, &amp; McCrae, 2001; Lippa, 2008, 2010; Schmitt, Realo, Voracek, &amp; Allik, 2008)"},"properties":{"noteIndex":0},"schema":"https://github.com/citation-style-language/schema/raw/master/csl-citation.json"}</w:instrText>
      </w:r>
      <w:r w:rsidRPr="00B30BA1">
        <w:fldChar w:fldCharType="separate"/>
      </w:r>
      <w:r w:rsidR="00814EAA" w:rsidRPr="00814EAA">
        <w:rPr>
          <w:noProof/>
        </w:rPr>
        <w:t>(Costa, Terracciano, &amp; McCrae, 2001; Lippa, 2008, 2010; Schmitt, Realo, Voracek, &amp; Allik, 2008)</w:t>
      </w:r>
      <w:r w:rsidRPr="00B30BA1">
        <w:fldChar w:fldCharType="end"/>
      </w:r>
      <w:r w:rsidRPr="00B30BA1">
        <w:t>.</w:t>
      </w:r>
      <w:r w:rsidRPr="00D761DF">
        <w:t xml:space="preserve"> </w:t>
      </w:r>
      <w:r>
        <w:t xml:space="preserve">This is consistent with the gender roles literature, which demonstrates that women are routinely expected to behave in warm and communal rather than agentic ways, while the opposite is true for men </w:t>
      </w:r>
      <w:r>
        <w:fldChar w:fldCharType="begin" w:fldLock="1"/>
      </w:r>
      <w:r w:rsidR="00814EAA">
        <w:instrText>ADDIN CSL_CITATION {"citationItems":[{"id":"ITEM-1","itemData":{"DOI":"10.1037/0033-295X.109.3.573","ISSN":"0033295X","PMID":"12088246","abstract":"A role congruity theory of prejudice toward female leaders proposes that perceived incongruity between the female gender role and leadership roles leads to 2 forms of prejudice: (a) perceiving women less favorably than men as potential occupants of leadership roles and (b) evaluating behavior that fulfills the prescriptions of a leader role less favorably when it is enacted by a woman. One consequence is that attitudes are less positive toward female than male leaders and potential leaders. Other consequences are that it is more difficult for women to become leaders and to achieve success in leadership roles. Evidence from varied research paradigms substantiates that these consequences occur, especially in situations that heighten perceptions of incongruity between the female gender role and leadership roles.","author":[{"dropping-particle":"","family":"Eagly","given":"Alice H","non-dropping-particle":"","parse-names":false,"suffix":""},{"dropping-particle":"","family":"Karau","given":"Steven J","non-dropping-particle":"","parse-names":false,"suffix":""}],"container-title":"Psychological Review","id":"ITEM-1","issue":"3","issued":{"date-parts":[["2002"]]},"page":"573-598","title":"Role congruity theory of prejudice toward female leaders","type":"article-journal","volume":"109"},"uris":["http://www.mendeley.com/documents/?uuid=b9448799-2689-3017-a870-8b352a06f41f"]},{"id":"ITEM-2","itemData":{"author":[{"dropping-particle":"","family":"Eagly","given":"Alice H","non-dropping-particle":"","parse-names":false,"suffix":""}],"id":"ITEM-2","issued":{"date-parts":[["1987"]]},"publisher":"Lawrence Erlbaum","publisher-place":"Hillsdale, NJ","title":"Sex differences in social behavior: A social-role interpretation","type":"article"},"uris":["http://www.mendeley.com/documents/?uuid=05f90e5f-9bc9-370a-bb99-08aa1ef8ec6c"]}],"mendeley":{"formattedCitation":"(Eagly, 1987; Eagly &amp; Karau, 2002)","manualFormatting":"(e.g., Eagly, 1987; Eagly &amp; Karau, 2002)","plainTextFormattedCitation":"(Eagly, 1987; Eagly &amp; Karau, 2002)","previouslyFormattedCitation":"(Eagly, 1987; Eagly &amp; Karau, 2002)"},"properties":{"noteIndex":0},"schema":"https://github.com/citation-style-language/schema/raw/master/csl-citation.json"}</w:instrText>
      </w:r>
      <w:r>
        <w:fldChar w:fldCharType="separate"/>
      </w:r>
      <w:r w:rsidRPr="0032589A">
        <w:rPr>
          <w:noProof/>
        </w:rPr>
        <w:t>(</w:t>
      </w:r>
      <w:r>
        <w:rPr>
          <w:noProof/>
        </w:rPr>
        <w:t xml:space="preserve">e.g., </w:t>
      </w:r>
      <w:r w:rsidRPr="0032589A">
        <w:rPr>
          <w:noProof/>
        </w:rPr>
        <w:t>Eagly, 1987; Eagly &amp; Karau, 2002)</w:t>
      </w:r>
      <w:r>
        <w:fldChar w:fldCharType="end"/>
      </w:r>
      <w:r>
        <w:t xml:space="preserve">. Similarly, women are, on average, found to be more interpersonally sensitive, exhibit greater perspective-taking, and </w:t>
      </w:r>
      <w:r w:rsidRPr="00B30BA1">
        <w:t>have more people-oriented interests</w:t>
      </w:r>
      <w:r>
        <w:t xml:space="preserve"> than men </w:t>
      </w:r>
      <w:r>
        <w:fldChar w:fldCharType="begin" w:fldLock="1"/>
      </w:r>
      <w:r w:rsidR="00814EAA">
        <w:instrText>ADDIN CSL_CITATION {"citationItems":[{"id":"ITEM-1","itemData":{"DOI":"10.1006/obhd.2001.2986","ISSN":"07495978","abstract":"This study reexamines conclusions regarding the superiority of all male teams on traditionally masculine tasks. By decomposing the criterion of decision-making accuracy, we illustrate how male-dominated teams may, in some contexts, constitute the worst gender composition. Specifically, as the percentage of males on a team increased, there was an exponential increase in the tendency for making decisions that were overaggressive. However, this bias in male-dominated teams' decision making was neutralized when teams received feedback on past levels of overaggressiveness. We document these effects in a study of 80 four-person teams using a simulation of a task that is masculine in its characteristics and male-dominated in terms of occupational demography. Possible interventions aimed at improving team decision-making accuracy are suggested. © 2002 Elsevier Science (USA).","author":[{"dropping-particle":"","family":"LePine","given":"Jeffrey A.","non-dropping-particle":"","parse-names":false,"suffix":""},{"dropping-particle":"","family":"Hollenbeck","given":"John R.","non-dropping-particle":"","parse-names":false,"suffix":""},{"dropping-particle":"","family":"Ilgen","given":"Daniel R.","non-dropping-particle":"","parse-names":false,"suffix":""},{"dropping-particle":"","family":"Colquitt","given":"Jason A.","non-dropping-particle":"","parse-names":false,"suffix":""},{"dropping-particle":"","family":"Ellis","given":"Aleksander","non-dropping-particle":"","parse-names":false,"suffix":""}],"container-title":"Organizational Behavior and Human Decision Processes","id":"ITEM-1","issue":"1","issued":{"date-parts":[["2002"]]},"page":"445-475","title":"Gender composition, situational strength, and team decision-making accuracy: A criterion decomposition approach","type":"article-journal","volume":"88"},"uris":["http://www.mendeley.com/documents/?uuid=500fd7da-18a2-42f3-8ad0-6b0399ecf4a5"]},{"id":"ITEM-2","itemData":{"DOI":"10.1111/j.1467-9280.2006.01824.x","ISSN":"09567976","PMID":"17201789","abstract":"Four experiments and a correlational study explored the relationship between power and perspective taking. In Experiment 1, participants primed with high power were more likely than those primed with low power to draw an E on their forehead in a self-oriented direction, demonstrating less of an inclination to spontaneously adopt another person's visual perspective. In Experiments 2a and 2b, high-power participants were less likely than low-power participants to take into account that other people did not possess their privileged knowledge, a result suggesting that power leads individuals to anchor too heavily on their own vantage point, insufficiently adjusting to others' perspectives. In Experiment 3, high-power participants were less accurate than control participants in determining other people's emotion expressions; these results suggest a power-induced impediment to experiencing empathy. An additional study found a negative relationship between individual difference measures of power and perspective taking. Across these studies, power was associated with a reduced tendency to comprehend how other people see, think, and feel. Copyright © 2006 Association for Psychological Science.","author":[{"dropping-particle":"","family":"Galinsky","given":"Adam D.","non-dropping-particle":"","parse-names":false,"suffix":""},{"dropping-particle":"","family":"Magee","given":"Joe C.","non-dropping-particle":"","parse-names":false,"suffix":""},{"dropping-particle":"","family":"Ena Inesi","given":"M.","non-dropping-particle":"","parse-names":false,"suffix":""},{"dropping-particle":"","family":"Gruenfeld","given":"Deborah H.","non-dropping-particle":"","parse-names":false,"suffix":""}],"container-title":"Psychological Science","id":"ITEM-2","issue":"12","issued":{"date-parts":[["2006"]]},"page":"1068-1074","title":"Power and perspectives not taken","type":"article-journal","volume":"17"},"uris":["http://www.mendeley.com/documents/?uuid=e4941e78-99ac-419e-8975-308d7fa6b8f3"]},{"id":"ITEM-3","itemData":{"DOI":"10.1287/orsc.2014.0941","ISSN":"15265455","abstract":"This paper investigates how professional workers' willingness to act with interpersonal sensitivity is influenced by the gender and power of their interaction partners. We call into question the idea that mixed-gender interactions involve more interpersonal sensitivity than all-male interactions primarily because women demonstrate more interpersonal sensitivity than do men. Rather, we argue that the social category \"women\" can evoke more sensitive behavior from others such that men as well as women contribute to an increase in sensitivity in mixed-gender interactions. We further argue that the presence of women may trigger increased sensitivity such that men can also be the recipients of more sensitivity when one or more women are present on a team. In a study of 202 management consultants, we found that the willingness to act with interpersonal sensitivity increased in interactions with women. Moreover, this effect was greater in interactions with women who had low reward power-i.e., females who better fit the expectations associated with the social category \"women.\" We also found team-level effects. Professionals working with mixed-gender versus all-male client teams reported a greater willingness to act with interpersonally sensitive behavior toward male client team members. Our findings show that the willingness to act with interpersonal sensitivity is context dependent and shed light on the importance of studying interaction partner-level and team-level effects on willingness to act with interpersonal sensitivity.","author":[{"dropping-particle":"","family":"Williams","given":"Michele","non-dropping-particle":"","parse-names":false,"suffix":""},{"dropping-particle":"","family":"Polman","given":"Evan","non-dropping-particle":"","parse-names":false,"suffix":""}],"container-title":"Organization Science","id":"ITEM-3","issue":"2","issued":{"date-parts":[["2015"]]},"page":"334-355","title":"Is it me or her? How gender composition evokes interpersonally sensitive behavior on collaborative cross-boundary projects","type":"article-journal","volume":"26"},"uris":["http://www.mendeley.com/documents/?uuid=2b26b6f1-7135-4289-8d97-7f0b0f81937c"]},{"id":"ITEM-4","itemData":{"DOI":"10.1037/a0017364","ISSN":"00332909","abstract":"The magnitude and variability of sex differences in vocational interests were examined in the present meta-analysis for Holland's (1959, 1997) categories (Realistic, Investigative, Artistic, Social, Enterprising, and Conventional), Prediger's (1982) Things-People and Data-Ideas dimensions, and the STEM (science, technology, engineering, and mathematics) interest areas. Technical manuals for 47 interest inventories were used, yielding 503,188 respondents. Results showed that men prefer working with things and women prefer working with people, producing a large effect size (d = 0.93) on the Things-People dimension. Men showed stronger Realistic (d = 0.84) and Investigative (d = 0.26) interests, and women showed stronger Artistic (d = -0.35), Social (d = -0.68), and Conventional (d = -0.33) interests. Sex differences favoring men were also found for more specific measures of engineering (d = 1.11), science (d = 0.36), and mathematics (d = 0.34) interests. Average effect sizes varied across interest inventories, ranging from 0.08 to 0.79. The quality of interest inventories, based on professional reputation, was not differentially related to the magnitude of sex differences. Moderators of the effect sizes included interest inventory item development strategy, scoring method, theoretical framework, and sample variables of age and cohort. Application of some item development strategies can substantially reduce sex differences. The present study suggests that interests may play a critical role in gendered occupational choices and gender disparity in the STEM fields. © 2009 American Psychological Association.","author":[{"dropping-particle":"","family":"Su","given":"Rong","non-dropping-particle":"","parse-names":false,"suffix":""},{"dropping-particle":"","family":"Rounds","given":"James","non-dropping-particle":"","parse-names":false,"suffix":""},{"dropping-particle":"","family":"Armstrong","given":"Patrick Ian","non-dropping-particle":"","parse-names":false,"suffix":""}],"container-title":"Psychological Bulletin","id":"ITEM-4","issue":"6","issued":{"date-parts":[["2009"]]},"page":"859-884","title":"Men and things, women and people: A meta-analysis of sex differences in interests","type":"article-journal","volume":"135"},"uris":["http://www.mendeley.com/documents/?uuid=a1fc0998-7130-4d5f-b58d-bf00e35da078"]}],"mendeley":{"formattedCitation":"(Galinsky, Magee, Ena Inesi, &amp; Gruenfeld, 2006; LePine, Hollenbeck, Ilgen, Colquitt, &amp; Ellis, 2002; Su, Rounds, &amp; Armstrong, 2009; Williams &amp; Polman, 2015)","plainTextFormattedCitation":"(Galinsky, Magee, Ena Inesi, &amp; Gruenfeld, 2006; LePine, Hollenbeck, Ilgen, Colquitt, &amp; Ellis, 2002; Su, Rounds, &amp; Armstrong, 2009; Williams &amp; Polman, 2015)","previouslyFormattedCitation":"(Galinsky, Magee, Ena Inesi, &amp; Gruenfeld, 2006; LePine, Hollenbeck, Ilgen, Colquitt, &amp; Ellis, 2002; Su, Rounds, &amp; Armstrong, 2009; Williams &amp; Polman, 2015)"},"properties":{"noteIndex":0},"schema":"https://github.com/citation-style-language/schema/raw/master/csl-citation.json"}</w:instrText>
      </w:r>
      <w:r>
        <w:fldChar w:fldCharType="separate"/>
      </w:r>
      <w:r w:rsidR="00814EAA" w:rsidRPr="00814EAA">
        <w:rPr>
          <w:noProof/>
        </w:rPr>
        <w:t>(Galinsky, Magee, Ena Inesi, &amp; Gruenfeld, 2006; LePine, Hollenbeck, Ilgen, Colquitt, &amp; Ellis, 2002; Su, Rounds, &amp; Armstrong, 2009; Williams &amp; Polman, 2015)</w:t>
      </w:r>
      <w:r>
        <w:fldChar w:fldCharType="end"/>
      </w:r>
      <w:r>
        <w:t>.</w:t>
      </w:r>
      <w:r w:rsidRPr="00B30BA1">
        <w:t xml:space="preserve"> </w:t>
      </w:r>
      <w:r>
        <w:t xml:space="preserve">These differences have also been found to generalize to women who occupy positions of power and visibility in organizations and who </w:t>
      </w:r>
      <w:r w:rsidR="00954D33">
        <w:t xml:space="preserve">have </w:t>
      </w:r>
      <w:r>
        <w:t>advance</w:t>
      </w:r>
      <w:r w:rsidR="00954D33">
        <w:t>d</w:t>
      </w:r>
      <w:r>
        <w:t xml:space="preserve"> up the </w:t>
      </w:r>
      <w:r w:rsidR="00712DAA">
        <w:t xml:space="preserve">career </w:t>
      </w:r>
      <w:r>
        <w:t xml:space="preserve">ladder </w:t>
      </w:r>
      <w:r>
        <w:fldChar w:fldCharType="begin" w:fldLock="1"/>
      </w:r>
      <w:r w:rsidR="00814EAA">
        <w:instrText>ADDIN CSL_CITATION {"citationItems":[{"id":"ITEM-1","itemData":{"DOI":"mnsc.1110.145","ISSN":"1556-5068","abstract":"Alarge literature documents that women are different from men in their choices and preferences, but little isknown about gender differences in the boardroom. If women must be like men to break the glass ceiling,we might expect gender differences to disappear among directors. Using a large survey of directors, we showthat female and male directors differ systematically in their core values and risk attitudes, but in ways thatdiffer from gender differences in the general population. These results are robust to controlling for differencesin observable characteristics. Consistent with findings for the population, female directors are more benevolentand universally concerned but less power oriented than male directors. However, in contrast to findings forthe population, they are less tradition and security oriented than their male counterparts. They are also morerisk loving than male directors. Thus, having a woman on the board need not lead to more risk-averse decisionmaking","author":[{"dropping-particle":"","family":"Adams","given":"Renee B.","non-dropping-particle":"","parse-names":false,"suffix":""},{"dropping-particle":"","family":"Funk","given":"Patricia","non-dropping-particle":"","parse-names":false,"suffix":""}],"container-title":"Management Science","id":"ITEM-1","issue":"2","issued":{"date-parts":[["2012"]]},"page":"219-235","title":"Beyond the glass ceiling: Does gender matter?","type":"article-journal","volume":"58"},"uris":["http://www.mendeley.com/documents/?uuid=4b877e68-0419-4ece-91d7-faa0efaea1ff"]},{"id":"ITEM-2","itemData":{"DOI":"10.1002/job.2031","ISSN":"10991379","abstract":"This study seeks to understand to what extent and in what contexts women leaders may be advantageous for teams. More specifically, this study examines how team leader gender relates to team cohesion, cooperative learning, and participative communication. Furthermore, the study argues that advantages derived from female leadership may be contingent on teams' coordination requirements. I propose that as teams' coordination requirements increase (i.e.,with functional diversity, size, and geographic dispersion), teams with women leaders report more cohesion and more cooperative and participative interaction norms than those with men leaders. I aggregated survey responses from the members of 82 teams in 29 organizations at the team level. Findings from hierarchical linear modeling analyses suggest that female leadership is more positively associated with cohesion on larger and more functionally diverse teams and more positively associated with cooperative learning and participative communication on larger and geographically dispersed teams. These results call for more research on boundary conditions on the relationship between leader gender and team outcomes, on the role of relational leadership on complex and diverse teams and, ultimately, on the potential mediating role of cohesion and team interaction norms on the relationship between leader gender and team performance.","author":[{"dropping-particle":"","family":"Post","given":"Corinne","non-dropping-particle":"","parse-names":false,"suffix":""}],"container-title":"Journal of Organizational Behavior","id":"ITEM-2","issue":"8","issued":{"date-parts":[["2015"]]},"page":"1153-1175","title":"When is female leadership an advantage? Coordination requirements, team cohesion, and team interaction norms","type":"article-journal","volume":"36"},"uris":["http://www.mendeley.com/documents/?uuid=1240eec6-7222-4735-b369-cb7ef9cb1ec3"]},{"id":"ITEM-3","itemData":{"DOI":"10.1037/a0018204","ISSN":"00219010","PMID":"20230065","abstract":"The authors contribute to the ongoing debate about the existence of a female leadership advantage by specifying contextual factors that moderate the likelihood of the emergence of such an advantage. The investigation considered whether the perceived role incongruence between the female gender role and the leader role led to a female leader disadvantage (as predicted by role congruity theory) or whether instead a female leader advantage would emerge (as predicted by double standards and stereotype content research). In Study 1, it was only when success was internally attributed that women top leaders were evaluated as more agentic and more communal than men top leaders. Study 2 showed that the favorable ratings were unique to top-level positions and further showed that the effect on agentic traits was mediated by perceptions of double standards, while the effect on communal traits was mediated by expectations of feminized management skills. Finally, Study 2 showed that top women leaders were evaluated most favorably on overall leader effectiveness, and this effect was mediated by both mediators. Our results support the existence of a qualified female leadership advantage. © 2010 American Psychological Association.","author":[{"dropping-particle":"","family":"Rosette","given":"Ashleigh Shelby","non-dropping-particle":"","parse-names":false,"suffix":""},{"dropping-particle":"","family":"Tost","given":"Leigh Plunkett","non-dropping-particle":"","parse-names":false,"suffix":""}],"container-title":"Journal of Applied Psychology","id":"ITEM-3","issue":"2","issued":{"date-parts":[["2010"]]},"page":"221-235","title":"Agentic women and communal leadership: How role prescriptions confer advantage to top women leaders","type":"article-journal","volume":"95"},"uris":["http://www.mendeley.com/documents/?uuid=994254b4-017e-44fc-ac0d-b1d451305ce2"]},{"id":"ITEM-4","itemData":{"DOI":"10.1037/0033-2909.129.4.569","ISSN":"00332909","abstract":"A meta-analysis of 45 studies of transformational, transactional, and laissez-faire leadership styles found that female leaders were more transformational than male leaders and also engaged in more of the contingent reward behaviors that are a component of transactional leadership. Male leaders were generally more likely to manifest the other aspects of transactional leadership (active and passive management by exception) and laissez-faire leadership. Although these differences between male and female leaders were small, the implications of these findings are encouraging for female leadership because other research has established that all of the aspects of leadership style on which women exceeded men relate positively to leaders' effectiveness whereas all of the aspects on which men exceeded women have negative or null relations to effectiveness.","author":[{"dropping-particle":"","family":"Eagly","given":"Alice H.","non-dropping-particle":"","parse-names":false,"suffix":""},{"dropping-particle":"","family":"Johannesen-Schmidt","given":"Mary C.","non-dropping-particle":"","parse-names":false,"suffix":""},{"dropping-particle":"","family":"Engen","given":"Marloes L.","non-dropping-particle":"Van","parse-names":false,"suffix":""}],"container-title":"Psychological Bulletin","id":"ITEM-4","issue":"4","issued":{"date-parts":[["2003"]]},"page":"569-591","title":"Transformational, transactional, and laissez-faire leadership styles: A meta-analysis comparing women and men","type":"article-journal","volume":"129"},"uris":["http://www.mendeley.com/documents/?uuid=2125a73f-56e0-4216-b871-68c5d303f483"]}],"mendeley":{"formattedCitation":"(Adams &amp; Funk, 2012; Eagly, Johannesen-Schmidt, &amp; Van Engen, 2003; Post, 2015; Rosette &amp; Tost, 2010)","plainTextFormattedCitation":"(Adams &amp; Funk, 2012; Eagly, Johannesen-Schmidt, &amp; Van Engen, 2003; Post, 2015; Rosette &amp; Tost, 2010)","previouslyFormattedCitation":"(Adams &amp; Funk, 2012; Eagly, Johannesen-Schmidt, &amp; Van Engen, 2003; Post, 2015; Rosette &amp; Tost, 2010)"},"properties":{"noteIndex":0},"schema":"https://github.com/citation-style-language/schema/raw/master/csl-citation.json"}</w:instrText>
      </w:r>
      <w:r>
        <w:fldChar w:fldCharType="separate"/>
      </w:r>
      <w:r w:rsidR="00814EAA" w:rsidRPr="00814EAA">
        <w:rPr>
          <w:noProof/>
        </w:rPr>
        <w:t>(Adams &amp; Funk, 2012; Eagly, Johannesen-Schmidt, &amp; Van Engen, 2003; Post, 2015; Rosette &amp; Tost, 2010)</w:t>
      </w:r>
      <w:r>
        <w:fldChar w:fldCharType="end"/>
      </w:r>
      <w:r>
        <w:t xml:space="preserve">. </w:t>
      </w:r>
    </w:p>
    <w:p w14:paraId="5812E35E" w14:textId="2A864EDE" w:rsidR="000E6AF5" w:rsidRPr="000C105C" w:rsidRDefault="0039527A" w:rsidP="009F67BB">
      <w:r>
        <w:t>Extending these differences to stars, female stars can be expected, on average, to display more interpersonal and socially oriented characteristics and behaviors than male stars.</w:t>
      </w:r>
      <w:bookmarkStart w:id="4" w:name="_Hlk33174935"/>
      <w:bookmarkEnd w:id="3"/>
      <w:r>
        <w:t xml:space="preserve"> In turn</w:t>
      </w:r>
      <w:r w:rsidRPr="00B30BA1">
        <w:t xml:space="preserve">, </w:t>
      </w:r>
      <w:r>
        <w:t xml:space="preserve">female stars’ presumed </w:t>
      </w:r>
      <w:r w:rsidRPr="00B30BA1">
        <w:t>display</w:t>
      </w:r>
      <w:r>
        <w:t xml:space="preserve"> of</w:t>
      </w:r>
      <w:r w:rsidRPr="00B30BA1">
        <w:t xml:space="preserve"> </w:t>
      </w:r>
      <w:r>
        <w:t xml:space="preserve">such characteristics and </w:t>
      </w:r>
      <w:r w:rsidRPr="00B30BA1">
        <w:t>behaviors</w:t>
      </w:r>
      <w:r>
        <w:t xml:space="preserve"> may affect knowledge recombination breadth by strengthening team processes that play a major role in </w:t>
      </w:r>
      <w:r>
        <w:lastRenderedPageBreak/>
        <w:t xml:space="preserve">the integration of knowledge. Teams that undertake creative knowledge work often need to configure diverse knowledge, dissimilar expertise and potentially contradictory perspectives </w:t>
      </w:r>
      <w:r>
        <w:fldChar w:fldCharType="begin" w:fldLock="1"/>
      </w:r>
      <w:r w:rsidR="00814EAA">
        <w:instrText>ADDIN CSL_CITATION {"citationItems":[{"id":"ITEM-1","itemData":{"DOI":"10.1287/orsc.1060.0200","ISSN":"10477039","abstract":"This paper introduces a model of collective creativity that explains how the locus of creative problem solving shifts, at times, from the individual to the interactions of a collective. The model is grounded in observations, interviews, informal conversations, and archival data gathered in intensive field studies of work in professional service firms. The evidence suggests that although some creative solutions can be seen as the products of individual insight, others should be regarded as the products of a momentary collective process. Such collective creativity reflects a qualitative shift in the nature of the creative process, as the comprehension of a problematic situation and the generation of creative solutions draw from - and reframe - the past experiences of participants in ways that lead to new and valuable insights. This research investigates the origins of such moments, and builds a model of collective creativity that identifies the precipitating roles played by four types of social interaction: help seeking, help giving, reflective refraining, and reinforcing. Implications of this research include shifting the emphasis in research and management of creativity from identifying and managing creative individuals to understanding the social context and developing interactive approaches to creativity, and from a focus on relatively constant contextual variables to the alignment of fluctuating variables and their precipitation of momentary phenomena. © 2006 INFORMS.","author":[{"dropping-particle":"","family":"Hargadon","given":"Andrew B.","non-dropping-particle":"","parse-names":false,"suffix":""},{"dropping-particle":"","family":"Bechky","given":"Beth A.","non-dropping-particle":"","parse-names":false,"suffix":""}],"container-title":"Organization Science","id":"ITEM-1","issue":"4","issued":{"date-parts":[["2006"]]},"page":"484-500","title":"When collections of creatives become creative collectives: A field study of problem solving at work","type":"article-journal","volume":"17"},"uris":["http://www.mendeley.com/documents/?uuid=5198b4ed-2b69-4254-9937-acc013bfe86e"]}],"mendeley":{"formattedCitation":"(Hargadon &amp; Bechky, 2006)","plainTextFormattedCitation":"(Hargadon &amp; Bechky, 2006)","previouslyFormattedCitation":"(Hargadon &amp; Bechky, 2006)"},"properties":{"noteIndex":0},"schema":"https://github.com/citation-style-language/schema/raw/master/csl-citation.json"}</w:instrText>
      </w:r>
      <w:r>
        <w:fldChar w:fldCharType="separate"/>
      </w:r>
      <w:r w:rsidR="00814EAA" w:rsidRPr="00814EAA">
        <w:rPr>
          <w:noProof/>
        </w:rPr>
        <w:t>(Hargadon &amp; Bechky, 2006)</w:t>
      </w:r>
      <w:r>
        <w:fldChar w:fldCharType="end"/>
      </w:r>
      <w:r>
        <w:t xml:space="preserve">. In order to do so, they must communicate and collaborate in ways that are conducive to both the relatively uninhibited sharing of unique knowledge as well as collective sensemaking </w:t>
      </w:r>
      <w:r>
        <w:fldChar w:fldCharType="begin" w:fldLock="1"/>
      </w:r>
      <w:r w:rsidR="00814EAA">
        <w:instrText>ADDIN CSL_CITATION {"citationItems":[{"id":"ITEM-1","itemData":{"DOI":"10.5465/amr.2012.0224","ISSN":"03637425","abstract":"This article provides insight into how some groups achieve extraordinary levels of creativity by reconsidering the collective process through which new ideas develop. Previous research has been premised on a model in which idea generation stimulated by divergent input increases the variance in ideas a group generates and therefore increases the chance that one of the group's ideas will be a radical, breakthrough creative product. In contrast, I present a dialectical model in which the integration of group members' perspectives (which I label creative synthesis) is the foundation for new ideas. I propose that the process of creative synthesis improves the chance that each of a group's ideas is a breakthrough. I elaborate the process facilitators of creative synthesis and the implications of the dialectical model for understanding extraordinary group creativity. Creative synthesis provides an alternative way for groups to combine their cognitive, social, and environmental resources into extraordinary output. Copyright of the Academy of Management, all rights reserved.","author":[{"dropping-particle":"","family":"Harvey","given":"Sarah","non-dropping-particle":"","parse-names":false,"suffix":""}],"container-title":"Academy of Management Review","id":"ITEM-1","issue":"3","issued":{"date-parts":[["2014"]]},"page":"324-343","title":"Creative synthesis: Exploring the process of extraordinary group creativity","type":"article-journal","volume":"39"},"uris":["http://www.mendeley.com/documents/?uuid=17ddf7dd-ff59-478c-b46d-2fde89cd1cf4"]},{"id":"ITEM-2","itemData":{"DOI":"10.1287/orsc.2017.1141","ISSN":"15265455","abstract":"The use of technological tools to execute creative tasks is pervasive within crossdisciplinary teams, yet little attention has been paid to their role in influencing team creativity. In particular, no research has focused on how the characteristics of a team's technological toolkit-the set of technological tools a team can draw upon to construct its actions-can affect team creativity. I propose that considering the toolkit, rather than just isolated tools, and the multiple functions played by tools is critical to understanding how technology characteristics influence team creativity. I hypothesize that creativity in cross-disciplinary teams is influenced by the size and field diffusion of the team toolkit, with size having a curvilinear relationship with creativity, and diffusion having a positive relationship. Moreover, I hypothesize that these effects will be attenuated when the number of team members who are experts with the focal tool is high. I test and find support for these hypotheses in a study set in the context of the Hollywood animation industry, a knowledge-intensive industry characterized by the presence of cross-disciplinary teams using a variety of technological tools. Theoretical and practical implications of the results are discussed.","author":[{"dropping-particle":"","family":"Mannucci","given":"Pier Vittorio","non-dropping-particle":"","parse-names":false,"suffix":""}],"container-title":"Organization Science","id":"ITEM-2","issue":"4","issued":{"date-parts":[["2017"]]},"page":"711-728","title":"Drawing snow white and animating buzz lightyear: Technological toolkit characteristics and creativity in cross-disciplinary teams","type":"article-journal","volume":"28"},"uris":["http://www.mendeley.com/documents/?uuid=3896583d-e299-4b8b-aede-63e8f92f965d"]},{"id":"ITEM-3","itemData":{"DOI":"10.1287/orsc.2018.1223","ISSN":"15265455","abstract":"Creative stars make disproportionately influential contributions to their fields. Yet we know little about how an innovator's creative performance is affected by collaborating with stars. This paper studies the creative aspects of interpersonal collaboration from a distinct perspective: the quality of the collaborator. Both star and nonstar collaborators provide different benefits to a focal innovator. The innovator benefits from collaborating with nonstars because they may provide access to diverse information improving the outcome of the creative task at hand. In contrast, the focal innovator benefits from collaborating with stars because the focal innovator can also experience and learn from the star's superior set of creative synthesis skills (which integrate diverse, sometimes contradictory ideas into new coherent and holistic solutions) and, thus, build lasting creative capabilities. Building on theoretical arguments about those two different collaboration purposes, we first examine how a star collaboration (versus a nonstar collaboration) affects a comprehensive measure of an innovator's creativity: the likelihood of emerging as a star. Second, we examine how the different creative benefits of engaging with a star versus a nonstar collaborator affect the effect of two widely studied aspects of interpersonal collaboration on star emergence: social network cohesion and expertise similarity. In contrast to collaborations with nonstars, for which social cohesion and expertise similarity limit access to diverse information, negatively affecting star emergence, social network cohesion and expertise similarity have a decidedly positive effect on star collaborations by improving the transfer of the star's set of creative skills. Our empirical setting consists of designers who have been granted design patents in the United States from 1975 through 2010.","author":[{"dropping-particle":"","family":"Liu","given":"Haibo","non-dropping-particle":"","parse-names":false,"suffix":""},{"dropping-particle":"","family":"Mihm","given":"Jürgen","non-dropping-particle":"","parse-names":false,"suffix":""},{"dropping-particle":"","family":"Sosa","given":"Manuel E.","non-dropping-particle":"","parse-names":false,"suffix":""}],"container-title":"Organization Science","id":"ITEM-3","issue":"6","issued":{"date-parts":[["2019","10","1"]]},"page":"1149-1169","publisher":"INFORMS Inst.for Operations Res.and the Management Sciences","title":"Where do stars come from? The role of star vs. nonstar collaborators in creative settings","type":"article-journal","volume":"29"},"uris":["http://www.mendeley.com/documents/?uuid=03d0aa89-6fd2-3dd4-8e24-34ecc78b89ae"]}],"mendeley":{"formattedCitation":"(Harvey, 2014; Liu et al., 2019; Mannucci, 2017)","plainTextFormattedCitation":"(Harvey, 2014; Liu et al., 2019; Mannucci, 2017)","previouslyFormattedCitation":"(Harvey, 2014; Liu et al., 2019; Mannucci, 2017)"},"properties":{"noteIndex":0},"schema":"https://github.com/citation-style-language/schema/raw/master/csl-citation.json"}</w:instrText>
      </w:r>
      <w:r>
        <w:fldChar w:fldCharType="separate"/>
      </w:r>
      <w:r w:rsidR="00814EAA" w:rsidRPr="00814EAA">
        <w:rPr>
          <w:noProof/>
        </w:rPr>
        <w:t>(Harvey, 2014; Liu et al., 2019; Mannucci, 2017)</w:t>
      </w:r>
      <w:r>
        <w:fldChar w:fldCharType="end"/>
      </w:r>
      <w:r>
        <w:t>. In this respect, characteristics and behaviors</w:t>
      </w:r>
      <w:r w:rsidRPr="00B30BA1">
        <w:t xml:space="preserve"> that indicate</w:t>
      </w:r>
      <w:r>
        <w:t xml:space="preserve"> mutual respect, </w:t>
      </w:r>
      <w:r w:rsidRPr="00B30BA1">
        <w:t>social sensitivity</w:t>
      </w:r>
      <w:r>
        <w:t xml:space="preserve"> and interpersonal competence</w:t>
      </w:r>
      <w:r w:rsidRPr="00B30BA1">
        <w:t xml:space="preserve"> </w:t>
      </w:r>
      <w:r>
        <w:t>have been repeatedly found to facilitate knowledge integration</w:t>
      </w:r>
      <w:r w:rsidRPr="0051164B">
        <w:t xml:space="preserve"> </w:t>
      </w:r>
      <w:r>
        <w:t xml:space="preserve">in teams </w:t>
      </w:r>
      <w:r>
        <w:fldChar w:fldCharType="begin" w:fldLock="1"/>
      </w:r>
      <w:r w:rsidR="00814EAA">
        <w:instrText>ADDIN CSL_CITATION {"citationItems":[{"id":"ITEM-1","itemData":{"DOI":"10.1177/0149206313513612","ISBN":"0149206313","ISSN":"01492063","abstract":"Conceptualizing new knowledge development as a process of search and recombination, we suggest that a focus on individual productivity alone presents an undersocialized view of human capital. Rather, we emphasize the importance of embedded relationships by individuals to effectively perform knowledge-generating activities. We rely on intraorganizational knowledge networks emerging through individual collaboration to identify actors who can positively influence their organization's knowledge outcomes. We study two types of such relational stars: integrators (outliers in centrality) and connectors (outliers in bridging behavior). We test our ideas using the patenting portfolios of 106 pharmaceutical firms from 1974 to 1998 predicting the effect of relational stars on their firm's quantity and quality of inventive output-proxies for the firm's capacity to develop more and better new knowledge stocks. We find that the presence of relational stars results in firm-level knowledge advantages not only through their own superior recombinant efforts, but also through their capacity to make others around them more effective at knowledge recombination. Relational stars are firm-specific, and their advantages are socially complex and causally ambiguous because they rely on a network of within-firm interactions. Relational stars, therefore, are prime candidates to be a source of sustainable firm-level knowledge advantage. © The Author(s) 2013.","author":[{"dropping-particle":"","family":"Grigoriou","given":"Konstantinos","non-dropping-particle":"","parse-names":false,"suffix":""},{"dropping-particle":"","family":"Rothaermel","given":"Frank T.","non-dropping-particle":"","parse-names":false,"suffix":""}],"container-title":"Journal of Management","id":"ITEM-1","issue":"2","issued":{"date-parts":[["2014"]]},"page":"586-615","title":"Structural microfoundations of innovation: The role of relational stars","type":"article-journal","volume":"40"},"uris":["http://www.mendeley.com/documents/?uuid=e22b1485-0f12-4c5a-ba4b-4e1ea8005c76"]},{"id":"ITEM-2","itemData":{"DOI":"10.1287/orsc.1060.0200","ISSN":"10477039","abstract":"This paper introduces a model of collective creativity that explains how the locus of creative problem solving shifts, at times, from the individual to the interactions of a collective. The model is grounded in observations, interviews, informal conversations, and archival data gathered in intensive field studies of work in professional service firms. The evidence suggests that although some creative solutions can be seen as the products of individual insight, others should be regarded as the products of a momentary collective process. Such collective creativity reflects a qualitative shift in the nature of the creative process, as the comprehension of a problematic situation and the generation of creative solutions draw from - and reframe - the past experiences of participants in ways that lead to new and valuable insights. This research investigates the origins of such moments, and builds a model of collective creativity that identifies the precipitating roles played by four types of social interaction: help seeking, help giving, reflective refraining, and reinforcing. Implications of this research include shifting the emphasis in research and management of creativity from identifying and managing creative individuals to understanding the social context and developing interactive approaches to creativity, and from a focus on relatively constant contextual variables to the alignment of fluctuating variables and their precipitation of momentary phenomena. © 2006 INFORMS.","author":[{"dropping-particle":"","family":"Hargadon","given":"Andrew B.","non-dropping-particle":"","parse-names":false,"suffix":""},{"dropping-particle":"","family":"Bechky","given":"Beth A.","non-dropping-particle":"","parse-names":false,"suffix":""}],"container-title":"Organization Science","id":"ITEM-2","issue":"4","issued":{"date-parts":[["2006"]]},"page":"484-500","title":"When collections of creatives become creative collectives: A field study of problem solving at work","type":"article-journal","volume":"17"},"uris":["http://www.mendeley.com/documents/?uuid=5198b4ed-2b69-4254-9937-acc013bfe86e"]},{"id":"ITEM-3","itemData":{"DOI":"10.1126/science.1193147","ISSN":"00368075","abstract":"Psychologists have repeatedly shown that a single statistical factor - often called \"general intelligence\" - emerges from the correlations among people's performance on a wide variety of cognitive tasks. But no one has systematically examined whether a similar kind of \"collective intelligence\" exists for groups of people. In two studies with 699 people, working in groups of two to five, we find converging evidence of a general collective intelligence factor that explains a group's performance on a wide variety of tasks. This \"c factor\" is not strongly correlated with the average or maximum individual intelligence of group members but is correlated with the average social sensitivity of group members, the equality in distribution of conversational turn-taking, and the proportion of females in the group.","author":[{"dropping-particle":"","family":"Woolley","given":"Anita Williams","non-dropping-particle":"","parse-names":false,"suffix":""},{"dropping-particle":"","family":"Chabris","given":"Christopher F.","non-dropping-particle":"","parse-names":false,"suffix":""},{"dropping-particle":"","family":"Pentland","given":"Alex","non-dropping-particle":"","parse-names":false,"suffix":""},{"dropping-particle":"","family":"Hashmi","given":"Nada","non-dropping-particle":"","parse-names":false,"suffix":""},{"dropping-particle":"","family":"Malone","given":"Thomas W.","non-dropping-particle":"","parse-names":false,"suffix":""}],"container-title":"Science","id":"ITEM-3","issue":"6004","issued":{"date-parts":[["2010","10","29"]]},"page":"686-688","title":"Evidence for a collective intelligence factor in the performance of human groups","type":"article-journal","volume":"330"},"uris":["http://www.mendeley.com/documents/?uuid=cbb330aa-4068-3b01-b9a8-34fcdc96be2a"]},{"id":"ITEM-4","itemData":{"DOI":"10.1126/science.1136099","ISSN":"00368075","PMID":"17431139","abstract":"We have used 19.9 million papers over 5 decades and 2.1 million patents to demonstrate that teams increasingly dominate solo authors in the production of knowledge. Research is increasingly done in teams across nearly all fields. Teams typically produce more frequently cited research than individuals do, and this advantage has been increasing over time. Teams now also produce the exceptionally high-impact research, even where that distinction was once the domain of solo authors. These results are detailed for sciences and engineering, social sciences, arts and humanities, and patents, suggesting that the process of knowledge creation has fundamentally changed.","author":[{"dropping-particle":"","family":"Wuchty","given":"Stefan","non-dropping-particle":"","parse-names":false,"suffix":""},{"dropping-particle":"","family":"Jones","given":"Benjamin F.","non-dropping-particle":"","parse-names":false,"suffix":""},{"dropping-particle":"","family":"Uzzi","given":"Brian","non-dropping-particle":"","parse-names":false,"suffix":""}],"container-title":"Science","id":"ITEM-4","issue":"5827","issued":{"date-parts":[["2007","5","18"]]},"page":"1036-1039","title":"The increasing dominance of teams in production of knowledge","type":"article-journal","volume":"316"},"uris":["http://www.mendeley.com/documents/?uuid=7730d42d-7bcc-3752-be44-80bd6d398cc2"]}],"mendeley":{"formattedCitation":"(Grigoriou &amp; Rothaermel, 2014; Hargadon &amp; Bechky, 2006; Woolley, Chabris, Pentland, Hashmi, &amp; Malone, 2010; Wuchty et al., 2007)","plainTextFormattedCitation":"(Grigoriou &amp; Rothaermel, 2014; Hargadon &amp; Bechky, 2006; Woolley, Chabris, Pentland, Hashmi, &amp; Malone, 2010; Wuchty et al., 2007)","previouslyFormattedCitation":"(Grigoriou &amp; Rothaermel, 2014; Hargadon &amp; Bechky, 2006; Woolley, Chabris, Pentland, Hashmi, &amp; Malone, 2010; Wuchty et al., 2007)"},"properties":{"noteIndex":0},"schema":"https://github.com/citation-style-language/schema/raw/master/csl-citation.json"}</w:instrText>
      </w:r>
      <w:r>
        <w:fldChar w:fldCharType="separate"/>
      </w:r>
      <w:r w:rsidR="00814EAA" w:rsidRPr="00814EAA">
        <w:rPr>
          <w:noProof/>
        </w:rPr>
        <w:t>(Grigoriou &amp; Rothaermel, 2014; Hargadon &amp; Bechky, 2006; Woolley, Chabris, Pentland, Hashmi, &amp; Malone, 2010; Wuchty et al., 2007)</w:t>
      </w:r>
      <w:r>
        <w:fldChar w:fldCharType="end"/>
      </w:r>
      <w:r>
        <w:t xml:space="preserve">. </w:t>
      </w:r>
    </w:p>
    <w:bookmarkEnd w:id="4"/>
    <w:p w14:paraId="2B9C4C27" w14:textId="6C36DBC3" w:rsidR="0039527A" w:rsidRPr="00001724" w:rsidRDefault="0039527A" w:rsidP="001E6427">
      <w:pPr>
        <w:pStyle w:val="Heading2"/>
      </w:pPr>
      <w:r w:rsidRPr="00B3594D">
        <w:t>Hypothes</w:t>
      </w:r>
      <w:r w:rsidR="001C6203">
        <w:t>i</w:t>
      </w:r>
      <w:r w:rsidRPr="00B3594D">
        <w:t>s</w:t>
      </w:r>
    </w:p>
    <w:p w14:paraId="73EC57CD" w14:textId="1C202E19" w:rsidR="00FC1C6F" w:rsidRDefault="0039527A" w:rsidP="005A2721">
      <w:r w:rsidRPr="00B3594D">
        <w:t xml:space="preserve">In </w:t>
      </w:r>
      <w:r>
        <w:t xml:space="preserve">the </w:t>
      </w:r>
      <w:r w:rsidRPr="00B3594D">
        <w:t>previous sections, we</w:t>
      </w:r>
      <w:r>
        <w:t xml:space="preserve"> established that the benefits of male stars for knowledge recombination breadth </w:t>
      </w:r>
      <w:r w:rsidR="00712DAA">
        <w:t xml:space="preserve">in teams </w:t>
      </w:r>
      <w:r>
        <w:t xml:space="preserve">predominantly derive from their capacity to increase the overall knowledge </w:t>
      </w:r>
      <w:r w:rsidR="00C46375">
        <w:t>available</w:t>
      </w:r>
      <w:r>
        <w:t xml:space="preserve">, while the benefits of female stars mainly </w:t>
      </w:r>
      <w:r w:rsidR="00712DAA">
        <w:t xml:space="preserve">relate to </w:t>
      </w:r>
      <w:r>
        <w:t>knowledge integration processes</w:t>
      </w:r>
      <w:r w:rsidR="00712DAA">
        <w:t xml:space="preserve">. </w:t>
      </w:r>
      <w:r>
        <w:t>Therefore, the question whether teams with male or female stars are better at recombining diverse knowledge components essentially depends on whether the availability of knowledge or effective knowledge integration processes</w:t>
      </w:r>
      <w:r w:rsidR="00712DAA">
        <w:t xml:space="preserve"> are more important for knowledge recombination breadth.</w:t>
      </w:r>
      <w:r>
        <w:t xml:space="preserve"> </w:t>
      </w:r>
      <w:r w:rsidR="00712DAA">
        <w:t>In the specific context of star knowledge workers in teams, w</w:t>
      </w:r>
      <w:r>
        <w:t xml:space="preserve">e </w:t>
      </w:r>
      <w:r w:rsidR="003C51FD">
        <w:t xml:space="preserve">argue </w:t>
      </w:r>
      <w:r>
        <w:t>that knowledge integration should matter more</w:t>
      </w:r>
      <w:r w:rsidR="005A4B34">
        <w:t xml:space="preserve"> for two main reasons.</w:t>
      </w:r>
      <w:r w:rsidR="00070DBA" w:rsidRPr="001705A8">
        <w:t xml:space="preserve"> </w:t>
      </w:r>
    </w:p>
    <w:p w14:paraId="397856E9" w14:textId="04C221EF" w:rsidR="00FC1C6F" w:rsidRDefault="00F11C05" w:rsidP="005A2721">
      <w:r>
        <w:t>First,</w:t>
      </w:r>
      <w:r w:rsidR="00356E9F" w:rsidRPr="001705A8">
        <w:t xml:space="preserve"> </w:t>
      </w:r>
      <w:r w:rsidR="00070DBA" w:rsidRPr="001705A8">
        <w:t xml:space="preserve">team processes that facilitate knowledge integration are </w:t>
      </w:r>
      <w:r w:rsidR="0048325C" w:rsidRPr="001705A8">
        <w:t>consistently recognized as</w:t>
      </w:r>
      <w:r w:rsidR="00070DBA" w:rsidRPr="001705A8">
        <w:t xml:space="preserve"> essential for </w:t>
      </w:r>
      <w:r w:rsidR="00722A94">
        <w:t xml:space="preserve">combining diverse knowledge, dissimilar expertise and potentially </w:t>
      </w:r>
      <w:r w:rsidR="00722A94" w:rsidRPr="001705A8">
        <w:t xml:space="preserve">disparate </w:t>
      </w:r>
      <w:r w:rsidR="00722A94">
        <w:t>perspectives</w:t>
      </w:r>
      <w:r w:rsidR="009F5AB9">
        <w:t xml:space="preserve"> </w:t>
      </w:r>
      <w:r w:rsidR="006D26FB" w:rsidRPr="001705A8">
        <w:t>into creative output</w:t>
      </w:r>
      <w:r w:rsidR="00070DBA" w:rsidRPr="001705A8">
        <w:t xml:space="preserve"> </w:t>
      </w:r>
      <w:r w:rsidR="00880D1B" w:rsidRPr="001705A8">
        <w:fldChar w:fldCharType="begin" w:fldLock="1"/>
      </w:r>
      <w:r w:rsidR="00814EAA">
        <w:instrText>ADDIN CSL_CITATION {"citationItems":[{"id":"ITEM-1","itemData":{"DOI":"10.1108/S1534-0856(2009)0000012015","ISSN":"15340856","abstract":"The papers in this volume can be characterized by a \"cohesion-creativity divide.\" On one side are scholars who describe the very nature of groups - its norms, interaction patterns, social influence, and hierarchy - as anathema to creativity. On the other side are advocates of cohesion and coordination, where the primary benefits of groups are to draw people together, form common ideas, and integrate knowledge into shared solutions. To bridge this \"cohesion-creativity divide,\" I have proposed four modes of resolution. They are: (1) searching for an overarching design that incorporates both integration and differentiation, (2) emphasizing dimensions of creativity most needed at a particular stage of the creative process, (3) promotion of a strong but creative culture, and (4) redefining creativity so that the tradeoffs inherent in the cohesion-creativity divide are drastically reduced. Each of these solutions is discussed in light of the papers in this volume as well as the creativity literature as a whole.","author":[{"dropping-particle":"","family":"Staw","given":"Barry M.","non-dropping-particle":"","parse-names":false,"suffix":""}],"container-title":"Research on Managing Groups and Teams","id":"ITEM-1","issued":{"date-parts":[["2009"]]},"page":"311-323","title":"Is group creativity really an oxymoron? Some thoughts on bridging the cohesion-creativity divide","type":"chapter","volume":"12"},"uris":["http://www.mendeley.com/documents/?uuid=47afa18a-8b0a-4e6b-8601-02ecd8a677fb"]},{"id":"ITEM-2","itemData":{"DOI":"10.5465/amr.2012.0224","ISSN":"03637425","abstract":"This article provides insight into how some groups achieve extraordinary levels of creativity by reconsidering the collective process through which new ideas develop. Previous research has been premised on a model in which idea generation stimulated by divergent input increases the variance in ideas a group generates and therefore increases the chance that one of the group's ideas will be a radical, breakthrough creative product. In contrast, I present a dialectical model in which the integration of group members' perspectives (which I label creative synthesis) is the foundation for new ideas. I propose that the process of creative synthesis improves the chance that each of a group's ideas is a breakthrough. I elaborate the process facilitators of creative synthesis and the implications of the dialectical model for understanding extraordinary group creativity. Creative synthesis provides an alternative way for groups to combine their cognitive, social, and environmental resources into extraordinary output. Copyright of the Academy of Management, all rights reserved.","author":[{"dropping-particle":"","family":"Harvey","given":"Sarah","non-dropping-particle":"","parse-names":false,"suffix":""}],"container-title":"Academy of Management Review","id":"ITEM-2","issue":"3","issued":{"date-parts":[["2014"]]},"page":"324-343","title":"Creative synthesis: Exploring the process of extraordinary group creativity","type":"article-journal","volume":"39"},"uris":["http://www.mendeley.com/documents/?uuid=17ddf7dd-ff59-478c-b46d-2fde89cd1cf4"]},{"id":"ITEM-3","itemData":{"DOI":"10.1287/orsc.1060.0200","ISSN":"10477039","abstract":"This paper introduces a model of collective creativity that explains how the locus of creative problem solving shifts, at times, from the individual to the interactions of a collective. The model is grounded in observations, interviews, informal conversations, and archival data gathered in intensive field studies of work in professional service firms. The evidence suggests that although some creative solutions can be seen as the products of individual insight, others should be regarded as the products of a momentary collective process. Such collective creativity reflects a qualitative shift in the nature of the creative process, as the comprehension of a problematic situation and the generation of creative solutions draw from - and reframe - the past experiences of participants in ways that lead to new and valuable insights. This research investigates the origins of such moments, and builds a model of collective creativity that identifies the precipitating roles played by four types of social interaction: help seeking, help giving, reflective refraining, and reinforcing. Implications of this research include shifting the emphasis in research and management of creativity from identifying and managing creative individuals to understanding the social context and developing interactive approaches to creativity, and from a focus on relatively constant contextual variables to the alignment of fluctuating variables and their precipitation of momentary phenomena. © 2006 INFORMS.","author":[{"dropping-particle":"","family":"Hargadon","given":"Andrew B.","non-dropping-particle":"","parse-names":false,"suffix":""},{"dropping-particle":"","family":"Bechky","given":"Beth A.","non-dropping-particle":"","parse-names":false,"suffix":""}],"container-title":"Organization Science","id":"ITEM-3","issue":"4","issued":{"date-parts":[["2006"]]},"page":"484-500","title":"When collections of creatives become creative collectives: A field study of problem solving at work","type":"article-journal","volume":"17"},"uris":["http://www.mendeley.com/documents/?uuid=5198b4ed-2b69-4254-9937-acc013bfe86e"]}],"mendeley":{"formattedCitation":"(Hargadon &amp; Bechky, 2006; Harvey, 2014; Staw, 2009)","plainTextFormattedCitation":"(Hargadon &amp; Bechky, 2006; Harvey, 2014; Staw, 2009)","previouslyFormattedCitation":"(Hargadon &amp; Bechky, 2006; Harvey, 2014; Staw, 2009)"},"properties":{"noteIndex":0},"schema":"https://github.com/citation-style-language/schema/raw/master/csl-citation.json"}</w:instrText>
      </w:r>
      <w:r w:rsidR="00880D1B" w:rsidRPr="001705A8">
        <w:fldChar w:fldCharType="separate"/>
      </w:r>
      <w:r w:rsidR="00814EAA" w:rsidRPr="00814EAA">
        <w:rPr>
          <w:noProof/>
        </w:rPr>
        <w:t>(Hargadon &amp; Bechky, 2006; Harvey, 2014; Staw, 2009)</w:t>
      </w:r>
      <w:r w:rsidR="00880D1B" w:rsidRPr="001705A8">
        <w:fldChar w:fldCharType="end"/>
      </w:r>
      <w:r w:rsidR="00070DBA" w:rsidRPr="001705A8">
        <w:t>.</w:t>
      </w:r>
      <w:r w:rsidR="00356E9F" w:rsidRPr="004D547D">
        <w:t xml:space="preserve"> In contrast,</w:t>
      </w:r>
      <w:r w:rsidR="0004763D">
        <w:t xml:space="preserve"> excessively</w:t>
      </w:r>
      <w:r w:rsidR="00356E9F" w:rsidRPr="004D547D">
        <w:t xml:space="preserve"> </w:t>
      </w:r>
      <w:r w:rsidR="004D547D" w:rsidRPr="004D547D">
        <w:t>increasing levels of</w:t>
      </w:r>
      <w:r w:rsidR="001B7762" w:rsidRPr="004D547D">
        <w:t xml:space="preserve"> knowledge </w:t>
      </w:r>
      <w:r w:rsidR="004D547D" w:rsidRPr="004D547D">
        <w:t>available to teams</w:t>
      </w:r>
      <w:r w:rsidR="00161CB4">
        <w:t>,</w:t>
      </w:r>
      <w:r w:rsidR="001B7762" w:rsidRPr="004D547D">
        <w:t xml:space="preserve"> </w:t>
      </w:r>
      <w:r w:rsidR="00141503">
        <w:t>without</w:t>
      </w:r>
      <w:r w:rsidR="0004763D">
        <w:t xml:space="preserve"> promoting its exchange</w:t>
      </w:r>
      <w:r w:rsidR="00161CB4">
        <w:t>,</w:t>
      </w:r>
      <w:r w:rsidR="0004763D">
        <w:t xml:space="preserve"> may lead to </w:t>
      </w:r>
      <w:r w:rsidR="004D547D" w:rsidRPr="004D547D">
        <w:t>more</w:t>
      </w:r>
      <w:r w:rsidR="001B7762" w:rsidRPr="004D547D">
        <w:t xml:space="preserve"> rigid and confirmatory </w:t>
      </w:r>
      <w:r w:rsidR="004D547D" w:rsidRPr="004D547D">
        <w:t>knowledge processes</w:t>
      </w:r>
      <w:r w:rsidR="00FC1C6F">
        <w:t>.</w:t>
      </w:r>
      <w:r w:rsidR="004D547D" w:rsidRPr="004D547D">
        <w:t xml:space="preserve"> </w:t>
      </w:r>
      <w:r w:rsidR="00FC1C6F">
        <w:t>U</w:t>
      </w:r>
      <w:r w:rsidR="004D547D" w:rsidRPr="004D547D">
        <w:t>ltimately</w:t>
      </w:r>
      <w:r w:rsidR="00D85105">
        <w:t>,</w:t>
      </w:r>
      <w:r w:rsidR="00FC1C6F">
        <w:t xml:space="preserve"> this could </w:t>
      </w:r>
      <w:r w:rsidR="004D547D" w:rsidRPr="004D547D">
        <w:t xml:space="preserve">lead to reliance on </w:t>
      </w:r>
      <w:r w:rsidR="00961FAC">
        <w:t xml:space="preserve">familiar or </w:t>
      </w:r>
      <w:r w:rsidR="004D547D" w:rsidRPr="004D547D">
        <w:t xml:space="preserve">repetitive knowledge rather than exploration of </w:t>
      </w:r>
      <w:r w:rsidR="00F85760">
        <w:t xml:space="preserve">new or </w:t>
      </w:r>
      <w:r w:rsidR="00F85760">
        <w:lastRenderedPageBreak/>
        <w:t>diverse</w:t>
      </w:r>
      <w:r w:rsidR="004D547D" w:rsidRPr="004D547D">
        <w:t xml:space="preserve"> knowledge</w:t>
      </w:r>
      <w:r w:rsidR="00356E9F" w:rsidRPr="004D547D">
        <w:t xml:space="preserve"> </w:t>
      </w:r>
      <w:r w:rsidR="00356E9F" w:rsidRPr="004D547D">
        <w:fldChar w:fldCharType="begin" w:fldLock="1"/>
      </w:r>
      <w:r w:rsidR="00814EAA">
        <w:instrText>ADDIN CSL_CITATION {"citationItems":[{"id":"ITEM-1","itemData":{"DOI":"10.1086/432782","ISSN":"00029602","abstract":"Small world networks have received disproportionate notice in diverse fields because of their suspected effect on system dynamics. The authors analyzed the small world network of the creative artists who made Broadway musicals from 1945 to 1989. Using original arguments, new statistical methods, and tests of construct validity, they found that the varying \"small world\" properties of the systemic-level network of these artists affected their creativity in terms of the financial and artistic performance of the musicals they produced. The small world network effect was parabolic; performance increased up to a threshold, after which point the positive effects reversed. © 2005 by The University of Chicago. All rights reserved.","author":[{"dropping-particle":"","family":"Uzzi","given":"Brian","non-dropping-particle":"","parse-names":false,"suffix":""},{"dropping-particle":"","family":"Spiro","given":"Jarrett","non-dropping-particle":"","parse-names":false,"suffix":""}],"container-title":"American Journal of Sociology","id":"ITEM-1","issue":"2","issued":{"date-parts":[["2005"]]},"page":"447-504","title":"Collaboration and creativity: The small world problem","type":"article-journal","volume":"111"},"uris":["http://www.mendeley.com/documents/?uuid=dc61899a-5200-4d4b-92a3-69267f4a4341"]},{"id":"ITEM-2","itemData":{"DOI":"10.5465/amr.2014.0462","ISSN":"03637425","abstract":"Interest has burgeoned, in recent years, in how social networks influence individual creativity and innovation. From both the theoretical and empirical points of view, this increased attention has generated many inconsistencies. In this article we propose that a conceptualization of the idea journey encompassing phases that the literature has so far overlooked can help solve existing tensions. We conceptualize four phases of the journey of an idea, from conception to completion: idea generation, idea elaboration, idea championing, and idea implementation. We propose that a creator has distinct primary needs in each phase: cognitive flexibility, support, influence, and shared vision, respectively. Individual creators successfully move through a phase when the relational and structural elements of their networks match the distinct needs of the phase. The relational and structural elements that are beneficial for one phase, however, are detrimental for another. We propose that in order to solve this seeming contradiction and the associated paradoxes, individual creators have to change interpretations and frames throughout the different phases. This, in turn, allows them to activate different network characteristics at the appropriate moment and successfully complete the idea journey from novel concept to a tangible outcome that changes the field.","author":[{"dropping-particle":"","family":"Perry-Smith","given":"Jill E.","non-dropping-particle":"","parse-names":false,"suffix":""},{"dropping-particle":"","family":"Mannucci","given":"Pier Vittorio","non-dropping-particle":"","parse-names":false,"suffix":""}],"container-title":"Academy of Management Review","id":"ITEM-2","issue":"1","issued":{"date-parts":[["2017"]]},"page":"53-79","title":"From creativity to innovation: The social network drivers of the four phases of the idea journey","type":"article-journal","volume":"42"},"uris":["http://www.mendeley.com/documents/?uuid=c3215693-6a58-4a37-b324-fa56d3e4bda9"]},{"id":"ITEM-3","itemData":{"DOI":"10.1016/j.jesp.2013.04.004","ISSN":"00221031","abstract":"Although generally accepted in the literature on group diversity, the view that groups can improve their creativity by drawing on the diverse perspectives of group members has received surprisingly limited examination or empirical support. This paper considers the role of deep level diversity in group creativity, highlighting that while deep diversity may improve divergent processes in groups, it may also hamper groups' ability to converge around creative ideas. Two experimental studies demonstrate that deep level diversity leads to less creatively elaborated and integrated ideas. In addition, the studies revealed that when groups must converge around a single output, the challenges of deep level diversity outweigh the benefits of divergent idea generation. A detailed analysis of the interactions of 27 groups finds that this effect occurs because deep diversity changes a group's creative process. This study contributes to our understanding of the creative process in groups with detailed analysis of video-taped group interactions. It challenges the assumed advantages of deep level diversity to group creativity, and suggests that the brainstorming process that groups are typically advised to use to promote creativity may not be the best way to develop creative final output. © 2013 Elsevier Inc.","author":[{"dropping-particle":"","family":"Harvey","given":"Sarah","non-dropping-particle":"","parse-names":false,"suffix":""}],"container-title":"Journal of Experimental Social Psychology","id":"ITEM-3","issue":"5","issued":{"date-parts":[["2013"]]},"page":"822-832","title":"A different perspective: The multiple effects of deep level diversity on group creativity","type":"article-journal","volume":"49"},"uris":["http://www.mendeley.com/documents/?uuid=2dd394a8-0bdd-40fd-b2ce-dc394e9564f7"]},{"id":"ITEM-4","itemData":{"DOI":"10.1037/a0016285","ISSN":"00219010","PMID":"19916661","abstract":"Taking an interactional perspective on creativity, the authors examined the influence of social networks and conformity value on employees' creativity. They theorized and found a curvilinear relationship between number of weak ties and creativity such that employees exhibited greater creativity when their number of weak ties was at intermediate levels rather than at lower or higher levels. In addition, employees' conformity value moderated the curvilinear relationship between number of weak ties and creativity such that employees exhibited greater creativity at intermediate levels of number of weak ties when conformity was low than when it was high. A proper match between personal values and network ties is critical for understanding creativity. © 2009 American Psychological Association.","author":[{"dropping-particle":"","family":"Zhou","given":"Jing","non-dropping-particle":"","parse-names":false,"suffix":""},{"dropping-particle":"","family":"Shin","given":"Shung Jae","non-dropping-particle":"","parse-names":false,"suffix":""},{"dropping-particle":"","family":"Brass","given":"Daniel J.","non-dropping-particle":"","parse-names":false,"suffix":""},{"dropping-particle":"","family":"Choi","given":"Jaepil","non-dropping-particle":"","parse-names":false,"suffix":""},{"dropping-particle":"","family":"Zhang","given":"Zhi Xue","non-dropping-particle":"","parse-names":false,"suffix":""}],"container-title":"Journal of Applied Psychology","id":"ITEM-4","issue":"6","issued":{"date-parts":[["2009"]]},"page":"1544-1552","title":"Social networks, personal values, and creativity: evidence for curvilinear and interaction effects","type":"article-journal","volume":"94"},"uris":["http://www.mendeley.com/documents/?uuid=7760a5ca-17a4-4631-a109-08bef19edb74"]}],"mendeley":{"formattedCitation":"(Harvey, 2013; Perry-Smith &amp; Mannucci, 2017; Uzzi &amp; Spiro, 2005; Zhou, Shin, Brass, Choi, &amp; Zhang, 2009)","plainTextFormattedCitation":"(Harvey, 2013; Perry-Smith &amp; Mannucci, 2017; Uzzi &amp; Spiro, 2005; Zhou, Shin, Brass, Choi, &amp; Zhang, 2009)","previouslyFormattedCitation":"(Harvey, 2013; Perry-Smith &amp; Mannucci, 2017; Uzzi &amp; Spiro, 2005; Zhou, Shin, Brass, Choi, &amp; Zhang, 2009)"},"properties":{"noteIndex":0},"schema":"https://github.com/citation-style-language/schema/raw/master/csl-citation.json"}</w:instrText>
      </w:r>
      <w:r w:rsidR="00356E9F" w:rsidRPr="004D547D">
        <w:fldChar w:fldCharType="separate"/>
      </w:r>
      <w:r w:rsidR="00814EAA" w:rsidRPr="00814EAA">
        <w:rPr>
          <w:noProof/>
        </w:rPr>
        <w:t>(Harvey, 2013; Perry-Smith &amp; Mannucci, 2017; Uzzi &amp; Spiro, 2005; Zhou, Shin, Brass, Choi, &amp; Zhang, 2009)</w:t>
      </w:r>
      <w:r w:rsidR="00356E9F" w:rsidRPr="004D547D">
        <w:fldChar w:fldCharType="end"/>
      </w:r>
      <w:r w:rsidR="00356E9F" w:rsidRPr="004D547D">
        <w:t>.</w:t>
      </w:r>
      <w:r>
        <w:t xml:space="preserve"> </w:t>
      </w:r>
    </w:p>
    <w:p w14:paraId="0A1DB6AC" w14:textId="71DEDE96" w:rsidR="0039527A" w:rsidRPr="00F11C05" w:rsidRDefault="003B2E35" w:rsidP="005A2721">
      <w:r>
        <w:t>Second</w:t>
      </w:r>
      <w:r w:rsidR="005D1C32">
        <w:t xml:space="preserve">, </w:t>
      </w:r>
      <w:r w:rsidR="006C7EB3">
        <w:t>our arguments concern</w:t>
      </w:r>
      <w:r w:rsidR="006C7EB3" w:rsidRPr="006C7EB3">
        <w:t xml:space="preserve"> stars, who are a special group of knowledge workers that enact several times the productivity of others</w:t>
      </w:r>
      <w:r w:rsidR="006C7EB3">
        <w:t>. Therefore,</w:t>
      </w:r>
      <w:r w:rsidR="006C7EB3" w:rsidRPr="006C7EB3">
        <w:t xml:space="preserve"> </w:t>
      </w:r>
      <w:r w:rsidR="006C7EB3">
        <w:t xml:space="preserve">we expect that </w:t>
      </w:r>
      <w:r w:rsidR="006C7EB3" w:rsidRPr="006C7EB3">
        <w:t xml:space="preserve">gender differences in </w:t>
      </w:r>
      <w:r w:rsidR="006C7EB3">
        <w:t xml:space="preserve">external visibility and </w:t>
      </w:r>
      <w:r w:rsidR="006C7EB3" w:rsidRPr="006C7EB3">
        <w:t xml:space="preserve">resource availability are </w:t>
      </w:r>
      <w:r w:rsidR="00B97315">
        <w:t>unlikely to be</w:t>
      </w:r>
      <w:r w:rsidR="006C7EB3" w:rsidRPr="006C7EB3">
        <w:t xml:space="preserve"> as pronounced as </w:t>
      </w:r>
      <w:r w:rsidR="006C7EB3">
        <w:t>would</w:t>
      </w:r>
      <w:r w:rsidR="006C7EB3" w:rsidRPr="006C7EB3">
        <w:t xml:space="preserve"> </w:t>
      </w:r>
      <w:r w:rsidR="006C7EB3">
        <w:t>be</w:t>
      </w:r>
      <w:r w:rsidR="006C7EB3" w:rsidRPr="006C7EB3">
        <w:t xml:space="preserve"> the case</w:t>
      </w:r>
      <w:r w:rsidR="006C7EB3">
        <w:t xml:space="preserve"> if we were to consider the more general sample of knowledge workers</w:t>
      </w:r>
      <w:r w:rsidR="006C7EB3" w:rsidRPr="006C7EB3">
        <w:t>.</w:t>
      </w:r>
      <w:r w:rsidR="00B97315">
        <w:t xml:space="preserve"> Accordingly, although gender differences in factors leading to knowledge availability likely exist between teams with male and female stars, the margin of difference may not be so large as to overpower the benefits stemming from the </w:t>
      </w:r>
      <w:r w:rsidR="00D1581F">
        <w:t xml:space="preserve">perception, </w:t>
      </w:r>
      <w:r w:rsidR="00B97315">
        <w:t>characteristics</w:t>
      </w:r>
      <w:r w:rsidR="00F63A04">
        <w:t>,</w:t>
      </w:r>
      <w:r w:rsidR="00D1581F">
        <w:t xml:space="preserve"> </w:t>
      </w:r>
      <w:r w:rsidR="00545F66">
        <w:t xml:space="preserve">and </w:t>
      </w:r>
      <w:r w:rsidR="00D1581F">
        <w:t>behavior</w:t>
      </w:r>
      <w:r w:rsidR="00545F66">
        <w:t xml:space="preserve"> </w:t>
      </w:r>
      <w:r w:rsidR="00B97315">
        <w:t>of female stars.</w:t>
      </w:r>
      <w:r w:rsidR="006C7EB3">
        <w:t xml:space="preserve"> </w:t>
      </w:r>
      <w:r w:rsidR="0039527A">
        <w:t>Based on these arguments</w:t>
      </w:r>
      <w:r w:rsidR="0039527A" w:rsidRPr="00C70D7D">
        <w:t>, we formulate the following hypothesis</w:t>
      </w:r>
      <w:r w:rsidR="0039527A">
        <w:t>.</w:t>
      </w:r>
    </w:p>
    <w:p w14:paraId="2F9C780A" w14:textId="0A31EEDE" w:rsidR="00BD2C69" w:rsidRPr="001E6427" w:rsidRDefault="0039527A" w:rsidP="005A2721">
      <w:pPr>
        <w:rPr>
          <w:i/>
        </w:rPr>
      </w:pPr>
      <w:r w:rsidRPr="001E6427">
        <w:rPr>
          <w:i/>
        </w:rPr>
        <w:t>Hypothesis: Teams with a female star recombine kn</w:t>
      </w:r>
      <w:r w:rsidR="00F23F09" w:rsidRPr="001E6427">
        <w:rPr>
          <w:i/>
        </w:rPr>
        <w:t>o</w:t>
      </w:r>
      <w:r w:rsidRPr="001E6427">
        <w:rPr>
          <w:i/>
        </w:rPr>
        <w:t>w</w:t>
      </w:r>
      <w:r w:rsidR="00F23F09" w:rsidRPr="001E6427">
        <w:rPr>
          <w:i/>
        </w:rPr>
        <w:t>l</w:t>
      </w:r>
      <w:r w:rsidRPr="001E6427">
        <w:rPr>
          <w:i/>
        </w:rPr>
        <w:t>edge more broadly than teams with a male star.</w:t>
      </w:r>
    </w:p>
    <w:p w14:paraId="309930F3" w14:textId="56547904" w:rsidR="004240F2" w:rsidRPr="00D750CA" w:rsidRDefault="009F67BB" w:rsidP="00292634">
      <w:pPr>
        <w:pStyle w:val="Heading1"/>
      </w:pPr>
      <w:r>
        <w:t>MeTHODS</w:t>
      </w:r>
    </w:p>
    <w:p w14:paraId="7FF7A354" w14:textId="77777777" w:rsidR="004240F2" w:rsidRPr="00D750CA" w:rsidRDefault="004240F2" w:rsidP="001E6427">
      <w:pPr>
        <w:pStyle w:val="Heading2"/>
      </w:pPr>
      <w:r w:rsidRPr="00D750CA">
        <w:t>Data and sample</w:t>
      </w:r>
    </w:p>
    <w:p w14:paraId="77151940" w14:textId="2A1669F6" w:rsidR="003A5E30" w:rsidRDefault="00C85DF7" w:rsidP="005A2721">
      <w:r>
        <w:t>We test our hypothesis in an empirical study of inventor teams and their patented inventions. We rely on p</w:t>
      </w:r>
      <w:r w:rsidR="00B97C5D" w:rsidRPr="005A2721">
        <w:t>atent data</w:t>
      </w:r>
      <w:r>
        <w:t xml:space="preserve"> because it</w:t>
      </w:r>
      <w:r w:rsidR="00B97C5D" w:rsidRPr="005A2721">
        <w:t xml:space="preserve"> </w:t>
      </w:r>
      <w:r>
        <w:t xml:space="preserve">has </w:t>
      </w:r>
      <w:r w:rsidR="00ED70F1" w:rsidRPr="005A2721">
        <w:t xml:space="preserve">proven useful for studying both </w:t>
      </w:r>
      <w:r w:rsidR="003850C4" w:rsidRPr="005A2721">
        <w:t xml:space="preserve">star knowledge workers </w:t>
      </w:r>
      <w:r w:rsidR="003850C4" w:rsidRPr="005A2721">
        <w:fldChar w:fldCharType="begin" w:fldLock="1"/>
      </w:r>
      <w:r w:rsidR="00814EAA">
        <w:instrText>ADDIN CSL_CITATION {"citationItems":[{"id":"ITEM-1","itemData":{"DOI":"10.1287/orsc.2018.1223","ISSN":"15265455","abstract":"Creative stars make disproportionately influential contributions to their fields. Yet we know little about how an innovator's creative performance is affected by collaborating with stars. This paper studies the creative aspects of interpersonal collaboration from a distinct perspective: the quality of the collaborator. Both star and nonstar collaborators provide different benefits to a focal innovator. The innovator benefits from collaborating with nonstars because they may provide access to diverse information improving the outcome of the creative task at hand. In contrast, the focal innovator benefits from collaborating with stars because the focal innovator can also experience and learn from the star's superior set of creative synthesis skills (which integrate diverse, sometimes contradictory ideas into new coherent and holistic solutions) and, thus, build lasting creative capabilities. Building on theoretical arguments about those two different collaboration purposes, we first examine how a star collaboration (versus a nonstar collaboration) affects a comprehensive measure of an innovator's creativity: the likelihood of emerging as a star. Second, we examine how the different creative benefits of engaging with a star versus a nonstar collaborator affect the effect of two widely studied aspects of interpersonal collaboration on star emergence: social network cohesion and expertise similarity. In contrast to collaborations with nonstars, for which social cohesion and expertise similarity limit access to diverse information, negatively affecting star emergence, social network cohesion and expertise similarity have a decidedly positive effect on star collaborations by improving the transfer of the star's set of creative skills. Our empirical setting consists of designers who have been granted design patents in the United States from 1975 through 2010.","author":[{"dropping-particle":"","family":"Liu","given":"Haibo","non-dropping-particle":"","parse-names":false,"suffix":""},{"dropping-particle":"","family":"Mihm","given":"Jürgen","non-dropping-particle":"","parse-names":false,"suffix":""},{"dropping-particle":"","family":"Sosa","given":"Manuel E.","non-dropping-particle":"","parse-names":false,"suffix":""}],"container-title":"Organization Science","id":"ITEM-1","issue":"6","issued":{"date-parts":[["2019","10","1"]]},"page":"1149-1169","publisher":"INFORMS Inst.for Operations Res.and the Management Sciences","title":"Where do stars come from? The role of star vs. nonstar collaborators in creative settings","type":"article-journal","volume":"29"},"uris":["http://www.mendeley.com/documents/?uuid=03d0aa89-6fd2-3dd4-8e24-34ecc78b89ae"]},{"id":"ITEM-2","itemData":{"ISSN":"0149-2063","author":[{"dropping-particle":"","family":"Tzabbar","given":"Daniel","non-dropping-particle":"","parse-names":false,"suffix":""},{"dropping-particle":"","family":"Kehoe","given":"Rebecca R.","non-dropping-particle":"","parse-names":false,"suffix":""}],"container-title":"Journal of Management","id":"ITEM-2","issue":"2","issued":{"date-parts":[["2014","2","21"]]},"page":"449-482","title":"Can opportunity emerge from disarray? An examination of exploration and exploitation following star scientist turnover","type":"article-journal","volume":"40"},"uris":["http://www.mendeley.com/documents/?uuid=a0fd0ca0-6742-3f26-ac53-9ca3b2a55be2"]}],"mendeley":{"formattedCitation":"(Liu et al., 2019; Tzabbar &amp; Kehoe, 2014)","plainTextFormattedCitation":"(Liu et al., 2019; Tzabbar &amp; Kehoe, 2014)","previouslyFormattedCitation":"(Liu et al., 2019; Tzabbar &amp; Kehoe, 2014)"},"properties":{"noteIndex":0},"schema":"https://github.com/citation-style-language/schema/raw/master/csl-citation.json"}</w:instrText>
      </w:r>
      <w:r w:rsidR="003850C4" w:rsidRPr="005A2721">
        <w:fldChar w:fldCharType="separate"/>
      </w:r>
      <w:r w:rsidR="00814EAA" w:rsidRPr="00814EAA">
        <w:rPr>
          <w:noProof/>
        </w:rPr>
        <w:t>(Liu et al., 2019; Tzabbar &amp; Kehoe, 2014)</w:t>
      </w:r>
      <w:r w:rsidR="003850C4" w:rsidRPr="005A2721">
        <w:fldChar w:fldCharType="end"/>
      </w:r>
      <w:r w:rsidR="003850C4" w:rsidRPr="005A2721">
        <w:t xml:space="preserve"> and </w:t>
      </w:r>
      <w:r w:rsidR="00ED70F1" w:rsidRPr="005A2721">
        <w:t xml:space="preserve">knowledge recombination </w:t>
      </w:r>
      <w:r w:rsidR="00245C11" w:rsidRPr="005A2721">
        <w:t>breadth</w:t>
      </w:r>
      <w:r w:rsidR="00DE49CA" w:rsidRPr="005A2721">
        <w:t xml:space="preserve"> </w:t>
      </w:r>
      <w:r w:rsidR="00DE49CA" w:rsidRPr="005A2721">
        <w:fldChar w:fldCharType="begin" w:fldLock="1"/>
      </w:r>
      <w:r w:rsidR="00814EAA">
        <w:instrText>ADDIN CSL_CITATION {"citationItems":[{"id":"ITEM-1","itemData":{"DOI":"10.1287/mnsc.47.1.117.10671","ISSN":"00251909","abstract":"While the course of technological change is widely accepted to be highly uncertain and unpredictable, little work has identified or studied the ultimate sources and causes of that uncertainty. This paper proposes that purely technological uncertainty derives from inventors' search processes with unfamiliar components and component combinations. Experimentation with new components and new combinations leads to less useful inventions on average, but it also implies an increase in the variability that can result in both failure and breakthrough. Negative binomial count and dispersion models with patent citation data demonstrate that new combinations are indeed more variable. In contrast to predictions, however, the reuse of components has a nonmonotonic and eventually positive effect on variability.","author":[{"dropping-particle":"","family":"Fleming","given":"Lee","non-dropping-particle":"","parse-names":false,"suffix":""}],"container-title":"Management Science","id":"ITEM-1","issue":"1","issued":{"date-parts":[["2001"]]},"page":"117-132","publisher":"INFORMS Inst.for Operations Res.and the Management Sciences","title":"Recombinant uncertainty in technological search","type":"article-journal","volume":"47"},"uris":["http://www.mendeley.com/documents/?uuid=238d9ee0-76b2-33a4-9c79-4699dd83083a"]},{"id":"ITEM-2","itemData":{"DOI":"10.1093/jeg/lbl016","ISSN":"14682710","abstract":"We examine the role of social relationships in facilitating knowledge flows by estimating the flow premium captured by a mobile inventor's previous location. Once an inventor has moved, they are gone - but are they forgotten? We find that knowledge flows to an inventor's prior location are approximately 50% greater than if they had never lived there, suggesting that social relationships, not just physical proximity, are important for determining flow patterns. Furthermore, we find that a large portion of this social effect is mediated by institutional links; however, this is not the result of corporate knowledge management systems but rather of personal relationships formed through co-location within an institutional context that endure over time, space, and organizational boundaries. Moreover, we find the effect is nearly twice as large for knowledge flows across as compared to within fields, suggesting that co-location, may substitute for communities of practice in determining flow patterns.","author":[{"dropping-particle":"","family":"Agrawal","given":"Ajay","non-dropping-particle":"","parse-names":false,"suffix":""},{"dropping-particle":"","family":"Cockburn","given":"Iain","non-dropping-particle":"","parse-names":false,"suffix":""},{"dropping-particle":"","family":"McHale","given":"John","non-dropping-particle":"","parse-names":false,"suffix":""}],"container-title":"Journal of Economic Geography","id":"ITEM-2","issue":"5","issued":{"date-parts":[["2006"]]},"page":"571-591","title":"Gone but not forgotten: Knowledge flows, labor mobility, and enduring social relationships","type":"article-journal","volume":"6"},"uris":["http://www.mendeley.com/documents/?uuid=5e002c95-3588-4529-a038-f6974e1215f0"]},{"id":"ITEM-3","itemData":{"DOI":"10.1287/mnsc.1120.1572","ISSN":"00251909","abstract":"Building on the seminal work of Thomas J. Allen, we contribute to the emerging microlevel theory of knowledge recombination by examining how individual-level characteristics of inventors affect the breadth of their technological recombinations. Our data set combines information from 30,550 European patents with matched survey data obtained from 1,880 inventors. The analysis supports the view that inventors with a scientific education are more likely to generate patents that span technological boundaries (in our case, 30 broad, toplevel technological domains) than inventors with an engineering degree. A doctoral degree is associated with increased recombination breadth for all groups of inventors. The breadth of an inventor's technological recombinations diminishes with increasing temporal distance to his education, but the differences between scientists and engineers persist over time. Our findings provide several new insights for research on inventors, the literature on organizational learning and innovation, and strategy research. © 2013 INFORMS.","author":[{"dropping-particle":"","family":"Gruber","given":"Marc","non-dropping-particle":"","parse-names":false,"suffix":""},{"dropping-particle":"","family":"Harhoff","given":"Dietmar","non-dropping-particle":"","parse-names":false,"suffix":""},{"dropping-particle":"","family":"Hoisl","given":"Karin","non-dropping-particle":"","parse-names":false,"suffix":""}],"container-title":"Management Science","id":"ITEM-3","issue":"4","issued":{"date-parts":[["2013","4"]]},"page":"837-851","title":"Knowledge recombination across technological boundaries: Scientists vs. engineers","type":"article-journal","volume":"59"},"uris":["http://www.mendeley.com/documents/?uuid=8e6c08dc-cb34-3fcb-bd16-219229187839"]}],"mendeley":{"formattedCitation":"(Agrawal, Cockburn, &amp; McHale, 2006; Fleming, 2001; Gruber et al., 2013)","plainTextFormattedCitation":"(Agrawal, Cockburn, &amp; McHale, 2006; Fleming, 2001; Gruber et al., 2013)","previouslyFormattedCitation":"(Agrawal, Cockburn, &amp; McHale, 2006; Fleming, 2001; Gruber et al., 2013)"},"properties":{"noteIndex":0},"schema":"https://github.com/citation-style-language/schema/raw/master/csl-citation.json"}</w:instrText>
      </w:r>
      <w:r w:rsidR="00DE49CA" w:rsidRPr="005A2721">
        <w:fldChar w:fldCharType="separate"/>
      </w:r>
      <w:r w:rsidR="00814EAA" w:rsidRPr="00814EAA">
        <w:rPr>
          <w:noProof/>
        </w:rPr>
        <w:t>(Agrawal, Cockburn, &amp; McHale, 2006; Fleming, 2001; Gruber et al., 2013)</w:t>
      </w:r>
      <w:r w:rsidR="00DE49CA" w:rsidRPr="005A2721">
        <w:fldChar w:fldCharType="end"/>
      </w:r>
      <w:r w:rsidR="00ED70F1" w:rsidRPr="005A2721">
        <w:t>.</w:t>
      </w:r>
      <w:r w:rsidR="00B9703B" w:rsidRPr="005A2721">
        <w:t xml:space="preserve"> </w:t>
      </w:r>
      <w:r>
        <w:t>To build our dataset</w:t>
      </w:r>
      <w:r w:rsidR="00E80A32">
        <w:t>,</w:t>
      </w:r>
      <w:r>
        <w:t xml:space="preserve"> we c</w:t>
      </w:r>
      <w:r w:rsidR="00B9703B" w:rsidRPr="005A2721">
        <w:t>ombin</w:t>
      </w:r>
      <w:r>
        <w:t>e</w:t>
      </w:r>
      <w:r w:rsidR="00B9703B" w:rsidRPr="005A2721">
        <w:t xml:space="preserve"> </w:t>
      </w:r>
      <w:r w:rsidR="00991739" w:rsidRPr="005A2721">
        <w:t>data</w:t>
      </w:r>
      <w:r>
        <w:t xml:space="preserve"> from the US</w:t>
      </w:r>
      <w:r w:rsidR="00F11448">
        <w:t>P</w:t>
      </w:r>
      <w:r>
        <w:t>TO, PATSTAT and genderize.io.</w:t>
      </w:r>
      <w:r w:rsidR="00B9703B" w:rsidRPr="005A2721">
        <w:t xml:space="preserve"> </w:t>
      </w:r>
    </w:p>
    <w:p w14:paraId="5A41D18A" w14:textId="71B4406B" w:rsidR="00B07402" w:rsidRPr="005A2721" w:rsidRDefault="00C85DF7" w:rsidP="005A2721">
      <w:r>
        <w:lastRenderedPageBreak/>
        <w:t>W</w:t>
      </w:r>
      <w:r w:rsidR="00B9703B" w:rsidRPr="005A2721">
        <w:t xml:space="preserve">e </w:t>
      </w:r>
      <w:r w:rsidR="00D127F5" w:rsidRPr="005A2721">
        <w:t xml:space="preserve">first </w:t>
      </w:r>
      <w:r w:rsidR="00B9703B" w:rsidRPr="005A2721">
        <w:t>build a</w:t>
      </w:r>
      <w:r w:rsidR="004240F2" w:rsidRPr="005A2721">
        <w:t xml:space="preserve"> sample of star inventors </w:t>
      </w:r>
      <w:r w:rsidR="00F82883" w:rsidRPr="005A2721">
        <w:t xml:space="preserve">and the patents </w:t>
      </w:r>
      <w:r w:rsidR="00B40E92" w:rsidRPr="005A2721">
        <w:t>granted</w:t>
      </w:r>
      <w:r w:rsidR="00AA5CCF" w:rsidRPr="005A2721">
        <w:t xml:space="preserve"> to them</w:t>
      </w:r>
      <w:r w:rsidR="00B40E92" w:rsidRPr="005A2721">
        <w:t xml:space="preserve"> by</w:t>
      </w:r>
      <w:r w:rsidR="004240F2" w:rsidRPr="005A2721">
        <w:t xml:space="preserve"> the United States Patent and Trademark Office (USPTO) between 1990 and 2010</w:t>
      </w:r>
      <w:r w:rsidR="00B37BD2">
        <w:rPr>
          <w:rStyle w:val="FootnoteReference"/>
        </w:rPr>
        <w:footnoteReference w:id="1"/>
      </w:r>
      <w:r w:rsidR="004240F2" w:rsidRPr="005A2721">
        <w:t xml:space="preserve">. </w:t>
      </w:r>
      <w:r w:rsidR="00991739" w:rsidRPr="005A2721">
        <w:t xml:space="preserve">We </w:t>
      </w:r>
      <w:r w:rsidR="00A86695" w:rsidRPr="005A2721">
        <w:t>use</w:t>
      </w:r>
      <w:r w:rsidR="00991739" w:rsidRPr="005A2721">
        <w:t xml:space="preserve"> inventor data </w:t>
      </w:r>
      <w:r w:rsidR="00B07402" w:rsidRPr="005A2721">
        <w:t>of</w:t>
      </w:r>
      <w:r w:rsidR="00991739" w:rsidRPr="005A2721">
        <w:t xml:space="preserve"> USPTO</w:t>
      </w:r>
      <w:r w:rsidR="00B07402" w:rsidRPr="005A2721">
        <w:t xml:space="preserve"> patents</w:t>
      </w:r>
      <w:r w:rsidR="00991739" w:rsidRPr="005A2721">
        <w:t xml:space="preserve"> </w:t>
      </w:r>
      <w:r w:rsidR="00A86695" w:rsidRPr="005A2721">
        <w:t>provided by the</w:t>
      </w:r>
      <w:r w:rsidR="00367D99" w:rsidRPr="005A2721">
        <w:t xml:space="preserve"> </w:t>
      </w:r>
      <w:proofErr w:type="spellStart"/>
      <w:r w:rsidR="00367D99" w:rsidRPr="005A2721">
        <w:t>PatentsView</w:t>
      </w:r>
      <w:proofErr w:type="spellEnd"/>
      <w:r w:rsidR="00367D99" w:rsidRPr="005A2721">
        <w:t xml:space="preserve"> initiative (http://www.patentsview.org). </w:t>
      </w:r>
      <w:r w:rsidR="00991739" w:rsidRPr="005A2721">
        <w:t>We complement this data with patent</w:t>
      </w:r>
      <w:r w:rsidR="00AA5CCF" w:rsidRPr="005A2721">
        <w:t xml:space="preserve"> </w:t>
      </w:r>
      <w:r w:rsidR="001B4B83" w:rsidRPr="005A2721">
        <w:t xml:space="preserve">information at the patent </w:t>
      </w:r>
      <w:r w:rsidR="00382CE3" w:rsidRPr="005A2721">
        <w:t>family-</w:t>
      </w:r>
      <w:r w:rsidR="00991739" w:rsidRPr="005A2721">
        <w:t>level recorded in PATSTAT, the worldwide patent statistical database</w:t>
      </w:r>
      <w:r w:rsidR="00C52353" w:rsidRPr="00C52353">
        <w:t xml:space="preserve"> We use patent families to prevent double-counting and to better estimate patent-based measures of a single invention, particularly knowledge recombination breadth</w:t>
      </w:r>
      <w:r w:rsidR="008337DF" w:rsidRPr="00EE1D76">
        <w:rPr>
          <w:rStyle w:val="FootnoteReference"/>
        </w:rPr>
        <w:footnoteReference w:id="2"/>
      </w:r>
      <w:r w:rsidR="00540B97" w:rsidRPr="008337DF">
        <w:rPr>
          <w:vertAlign w:val="superscript"/>
        </w:rPr>
        <w:t xml:space="preserve"> </w:t>
      </w:r>
      <w:r w:rsidR="00382CE3" w:rsidRPr="005A2721">
        <w:t xml:space="preserve">(cf. </w:t>
      </w:r>
      <w:r w:rsidR="00382CE3" w:rsidRPr="005A2721">
        <w:fldChar w:fldCharType="begin" w:fldLock="1"/>
      </w:r>
      <w:r w:rsidR="00814EAA">
        <w:instrText>ADDIN CSL_CITATION {"citationItems":[{"id":"ITEM-1","itemData":{"DOI":"10.1007/s11192-010-0251-3","ISSN":"01389130","abstract":"Data on patent families is used in economic and statistical studies for many purposes, including the analysis of patenting strategies of applicants, the monitoring of the globalization of inventions and the comparison of the inventive performance and stock of technological knowledge of different countries. Most of these studies take family data as given, as a sort of black box, without going into the details of their underlying methodologies and patent linkages. However, different definitions of patent families may lead to different results. One of the purposes of this paper is to compare the most commonly used definitions of patent families and identify factors causing differences in family outcomes. Another objective is to shed light into the internal structure of patent families and see how it affects patent family outcomes based on different definitions. An automated characterization of the internal structures of all extended families with earliest priorities in the 1990s, as recorded in PATSTAT, found that family counts are not affected by the choice of patent family definitions in 75% of families. However, different definitions may really matter for the 25% of families with complex structures and lead to different family compositions, which might have an impact, for instance, on econometric studies using family size as a proxy of patent value. © 2010 Akadémiai Kiadó, Budapest, Hungary.","author":[{"dropping-particle":"","family":"Martínez","given":"Catalina","non-dropping-particle":"","parse-names":false,"suffix":""}],"container-title":"Scientometrics","id":"ITEM-1","issue":"1","issued":{"date-parts":[["2011"]]},"page":"39-63","title":"Patent families: When do different definitions really matter?","type":"article-journal","volume":"86"},"uris":["http://www.mendeley.com/documents/?uuid=36e27f52-8c9e-37f9-abd8-5e01b52262b5"]}],"mendeley":{"formattedCitation":"(Martínez, 2011)","manualFormatting":"Martínez, 2011)","plainTextFormattedCitation":"(Martínez, 2011)","previouslyFormattedCitation":"(Martínez, 2011)"},"properties":{"noteIndex":0},"schema":"https://github.com/citation-style-language/schema/raw/master/csl-citation.json"}</w:instrText>
      </w:r>
      <w:r w:rsidR="00382CE3" w:rsidRPr="005A2721">
        <w:fldChar w:fldCharType="separate"/>
      </w:r>
      <w:r w:rsidR="00382CE3" w:rsidRPr="005A2721">
        <w:rPr>
          <w:noProof/>
        </w:rPr>
        <w:t>Martínez, 2011)</w:t>
      </w:r>
      <w:r w:rsidR="00382CE3" w:rsidRPr="005A2721">
        <w:fldChar w:fldCharType="end"/>
      </w:r>
      <w:r w:rsidR="00382CE3" w:rsidRPr="005A2721">
        <w:t xml:space="preserve">. </w:t>
      </w:r>
      <w:r w:rsidR="00BB1596" w:rsidRPr="005A2721">
        <w:t>We</w:t>
      </w:r>
      <w:r w:rsidR="00382CE3" w:rsidRPr="005A2721">
        <w:t xml:space="preserve"> </w:t>
      </w:r>
      <w:r w:rsidR="00D127F5" w:rsidRPr="005A2721">
        <w:t xml:space="preserve">then </w:t>
      </w:r>
      <w:r>
        <w:t>infer</w:t>
      </w:r>
      <w:r w:rsidRPr="005A2721">
        <w:t xml:space="preserve"> </w:t>
      </w:r>
      <w:r w:rsidR="00B07402" w:rsidRPr="005A2721">
        <w:t xml:space="preserve">the sex of the inventors </w:t>
      </w:r>
      <w:r>
        <w:t>from the</w:t>
      </w:r>
      <w:r w:rsidR="001C76AC">
        <w:t>ir</w:t>
      </w:r>
      <w:r>
        <w:t xml:space="preserve"> forenames </w:t>
      </w:r>
      <w:r w:rsidR="00B07402" w:rsidRPr="005A2721">
        <w:t>using the genderize.io database</w:t>
      </w:r>
      <w:r w:rsidR="005439C3" w:rsidRPr="005A2721">
        <w:t xml:space="preserve"> (</w:t>
      </w:r>
      <w:hyperlink r:id="rId8" w:history="1">
        <w:r w:rsidR="005439C3" w:rsidRPr="005A2721">
          <w:rPr>
            <w:rStyle w:val="Hyperlink"/>
            <w:color w:val="auto"/>
            <w:u w:val="none"/>
          </w:rPr>
          <w:t>https://genderize.io/</w:t>
        </w:r>
      </w:hyperlink>
      <w:r w:rsidR="005439C3" w:rsidRPr="005A2721">
        <w:t>)</w:t>
      </w:r>
      <w:r>
        <w:t xml:space="preserve">. </w:t>
      </w:r>
      <w:r w:rsidR="00625767" w:rsidRPr="005A2721">
        <w:t>Because name-based gender designation is particularly challenging for certain countries and ethnicities, we conduct additional checks relying</w:t>
      </w:r>
      <w:r w:rsidR="00357829" w:rsidRPr="005A2721">
        <w:t xml:space="preserve"> on</w:t>
      </w:r>
      <w:r w:rsidR="00625767" w:rsidRPr="005A2721">
        <w:t xml:space="preserve"> </w:t>
      </w:r>
      <w:r w:rsidR="00B579A0" w:rsidRPr="005A2721">
        <w:t>US census data</w:t>
      </w:r>
      <w:r w:rsidR="008337DF" w:rsidRPr="00EE1D76">
        <w:rPr>
          <w:rStyle w:val="FootnoteReference"/>
        </w:rPr>
        <w:footnoteReference w:id="3"/>
      </w:r>
      <w:r w:rsidR="00625767" w:rsidRPr="005A2721">
        <w:t xml:space="preserve"> as well as independent raters.</w:t>
      </w:r>
      <w:r w:rsidR="00315560">
        <w:t xml:space="preserve"> We exclude names and countries (e.g., China), for which gender designation is not reliable</w:t>
      </w:r>
      <w:r w:rsidR="00315560">
        <w:rPr>
          <w:rStyle w:val="FootnoteReference"/>
        </w:rPr>
        <w:footnoteReference w:id="4"/>
      </w:r>
      <w:r w:rsidR="00315560">
        <w:t>.</w:t>
      </w:r>
      <w:r w:rsidR="00D55268" w:rsidRPr="005A2721">
        <w:t xml:space="preserve"> </w:t>
      </w:r>
      <w:r w:rsidR="00BB1596" w:rsidRPr="005A2721">
        <w:t>Finally, we match inventor teams with female stars to inventor teams with male stars to account for the gender imbalance</w:t>
      </w:r>
      <w:r w:rsidR="00DB65CE" w:rsidRPr="005A2721">
        <w:t xml:space="preserve"> in patenting</w:t>
      </w:r>
      <w:r>
        <w:t xml:space="preserve"> and differences in inventor teams</w:t>
      </w:r>
      <w:r w:rsidR="001A5646" w:rsidRPr="005A2721">
        <w:t xml:space="preserve"> </w:t>
      </w:r>
      <w:r w:rsidR="001A5646" w:rsidRPr="005A2721">
        <w:fldChar w:fldCharType="begin" w:fldLock="1"/>
      </w:r>
      <w:r w:rsidR="00814EAA">
        <w:instrText>ADDIN CSL_CITATION {"citationItems":[{"id":"ITEM-1","itemData":{"DOI":"10.1126/science.1124832","ISSN":"00368075","PMID":"16888138","abstract":"We analyzed longitudinal data on academic careers and conducted interviews with faculty members to determine the scope and causes of the gender gap in patenting among life scientists. Our regressions on a random sample of 4227 life scientists over a 30-year period show that women faculty members patent at about 40% of the rate of men. We found that the gender gap has improved over time but remains large.","author":[{"dropping-particle":"","family":"Ding","given":"Waverly W.","non-dropping-particle":"","parse-names":false,"suffix":""},{"dropping-particle":"","family":"Murray","given":"Fiona","non-dropping-particle":"","parse-names":false,"suffix":""},{"dropping-particle":"","family":"Stuart","given":"Toby E.","non-dropping-particle":"","parse-names":false,"suffix":""}],"container-title":"Science","id":"ITEM-1","issue":"5787","issued":{"date-parts":[["2006"]]},"page":"665-667","title":"Gender differences in patenting in the academic life sciences","type":"article-journal","volume":"313"},"uris":["http://www.mendeley.com/documents/?uuid=fda21238-c6bc-47d2-ae02-2c44372949fe"]},{"id":"ITEM-2","itemData":{"ISSN":"19326203","PMID":"26017626","abstract":"We analyzed gender disparities in patenting by country, technological area, and type of assignee using the 4.6 million utility patents issued between 1976 and 2013 by the United States Patent and Trade Office (USPTO). Our analyses of fractionalized inventorships demonstrate that women's rate of patenting has increased from 2.7% of total patenting activity to 10.8% over the nearly 40-year period. Our results show that, in every technological area, female patenting is proportionally more likely to occur in academic institutions than in corporate or government environments. However, women's patents have a lower technological impact than that of men, and that gap is wider in the case of academic patents. We also provide evidence that patents to which women- and in particular academic women-contributed are associated with a higher number of International Patent Classification (IPC) codes and co-inventors than men. The policy implications of these disparities and academic setting advantages are discussed.","author":[{"dropping-particle":"","family":"Sugimoto","given":"Cassidy R.","non-dropping-particle":"","parse-names":false,"suffix":""},{"dropping-particle":"","family":"Ni","given":"Chaoqun","non-dropping-particle":"","parse-names":false,"suffix":""},{"dropping-particle":"","family":"West","given":"Jevin D.","non-dropping-particle":"","parse-names":false,"suffix":""},{"dropping-particle":"","family":"Larivière","given":"Vincent","non-dropping-particle":"","parse-names":false,"suffix":""}],"container-title":"PLoS ONE","id":"ITEM-2","issue":"5","issued":{"date-parts":[["2015"]]},"title":"The academic advantage: Gender disparities in patenting","type":"article-journal","volume":"10"},"uris":["http://www.mendeley.com/documents/?uuid=d22cd9dc-284a-4dd5-9d86-f8fd06736b90"]}],"mendeley":{"formattedCitation":"(Ding, Murray, &amp; Stuart, 2006; Sugimoto, Ni, West, &amp; Larivière, 2015)","plainTextFormattedCitation":"(Ding, Murray, &amp; Stuart, 2006; Sugimoto, Ni, West, &amp; Larivière, 2015)","previouslyFormattedCitation":"(Ding, Murray, &amp; Stuart, 2006; Sugimoto, Ni, West, &amp; Larivière, 2015)"},"properties":{"noteIndex":0},"schema":"https://github.com/citation-style-language/schema/raw/master/csl-citation.json"}</w:instrText>
      </w:r>
      <w:r w:rsidR="001A5646" w:rsidRPr="005A2721">
        <w:fldChar w:fldCharType="separate"/>
      </w:r>
      <w:r w:rsidR="00814EAA" w:rsidRPr="00814EAA">
        <w:rPr>
          <w:noProof/>
        </w:rPr>
        <w:t>(Ding, Murray, &amp; Stuart, 2006; Sugimoto, Ni, West, &amp; Larivière, 2015)</w:t>
      </w:r>
      <w:r w:rsidR="001A5646" w:rsidRPr="005A2721">
        <w:fldChar w:fldCharType="end"/>
      </w:r>
      <w:r w:rsidR="001A5646" w:rsidRPr="005A2721">
        <w:t>.</w:t>
      </w:r>
      <w:r w:rsidR="00CE10B7" w:rsidRPr="005A2721">
        <w:t xml:space="preserve"> In the subsequent sections, we explain each of the abovementioned steps </w:t>
      </w:r>
      <w:r w:rsidR="00DC2F9F" w:rsidRPr="005A2721">
        <w:t>in depth, first</w:t>
      </w:r>
      <w:r w:rsidR="00CE10B7" w:rsidRPr="005A2721">
        <w:t xml:space="preserve"> elucidating how we identif</w:t>
      </w:r>
      <w:r w:rsidR="0072690A">
        <w:t>y</w:t>
      </w:r>
      <w:r w:rsidR="00286CC2" w:rsidRPr="005A2721">
        <w:t xml:space="preserve"> female and male</w:t>
      </w:r>
      <w:r w:rsidR="00CE10B7" w:rsidRPr="005A2721">
        <w:t xml:space="preserve"> star inventor</w:t>
      </w:r>
      <w:r w:rsidR="00286CC2" w:rsidRPr="005A2721">
        <w:t xml:space="preserve">s </w:t>
      </w:r>
      <w:r w:rsidR="00CE10B7" w:rsidRPr="005A2721">
        <w:t xml:space="preserve">and </w:t>
      </w:r>
      <w:r w:rsidR="00395A63" w:rsidRPr="005A2721">
        <w:t>then</w:t>
      </w:r>
      <w:r w:rsidR="00DC2F9F" w:rsidRPr="005A2721">
        <w:t xml:space="preserve"> giving an overview of the matching approach employed.</w:t>
      </w:r>
    </w:p>
    <w:p w14:paraId="1D9839E7" w14:textId="151652CC" w:rsidR="00CD36A2" w:rsidRDefault="00563C72" w:rsidP="005A2721">
      <w:r w:rsidRPr="005A2721">
        <w:rPr>
          <w:b/>
          <w:i/>
        </w:rPr>
        <w:lastRenderedPageBreak/>
        <w:tab/>
      </w:r>
      <w:r w:rsidR="001B4B83" w:rsidRPr="005A2721">
        <w:rPr>
          <w:b/>
          <w:i/>
        </w:rPr>
        <w:t>Identifying star inventors</w:t>
      </w:r>
      <w:r w:rsidR="005A2721" w:rsidRPr="005A2721">
        <w:rPr>
          <w:b/>
          <w:i/>
        </w:rPr>
        <w:t>.</w:t>
      </w:r>
      <w:r w:rsidR="005A2721">
        <w:t xml:space="preserve"> </w:t>
      </w:r>
      <w:r w:rsidR="00245C11">
        <w:t xml:space="preserve">Following the definition of stars, we identify star inventors </w:t>
      </w:r>
      <w:r w:rsidR="00B25E77">
        <w:t>based on</w:t>
      </w:r>
      <w:r w:rsidR="004C309E">
        <w:t xml:space="preserve"> their</w:t>
      </w:r>
      <w:r w:rsidR="00B25E77">
        <w:t xml:space="preserve"> exceptional </w:t>
      </w:r>
      <w:r w:rsidR="009038AF">
        <w:t xml:space="preserve">relative </w:t>
      </w:r>
      <w:r w:rsidR="00B25E77">
        <w:t>performance.</w:t>
      </w:r>
      <w:r w:rsidR="00B37139">
        <w:t xml:space="preserve"> </w:t>
      </w:r>
      <w:r w:rsidR="004C309E">
        <w:t>To do so,</w:t>
      </w:r>
      <w:r w:rsidR="00B37139">
        <w:t xml:space="preserve"> </w:t>
      </w:r>
      <w:r w:rsidR="004C309E">
        <w:t xml:space="preserve">we </w:t>
      </w:r>
      <w:r w:rsidR="00B25E77">
        <w:t xml:space="preserve">create a panel dataset </w:t>
      </w:r>
      <w:r w:rsidR="004C309E">
        <w:t>covering</w:t>
      </w:r>
      <w:r w:rsidR="00B25E77">
        <w:t xml:space="preserve"> the universe of inventors who have ever filed a patent at the USPTO and measure their invent</w:t>
      </w:r>
      <w:r w:rsidR="00ED712F">
        <w:t>ive</w:t>
      </w:r>
      <w:r w:rsidR="00B25E77">
        <w:t xml:space="preserve"> performance at different points in time. </w:t>
      </w:r>
      <w:r w:rsidR="004C309E">
        <w:t>In a first step, we</w:t>
      </w:r>
      <w:r w:rsidR="00B25E77">
        <w:t xml:space="preserve"> </w:t>
      </w:r>
      <w:r w:rsidR="00B37139">
        <w:t xml:space="preserve">rely on the </w:t>
      </w:r>
      <w:r w:rsidR="00B25E77">
        <w:t>inventor</w:t>
      </w:r>
      <w:r w:rsidR="00B37139">
        <w:t xml:space="preserve"> disambiguation provided by the </w:t>
      </w:r>
      <w:proofErr w:type="spellStart"/>
      <w:r w:rsidR="00B37139">
        <w:t>PatentsView</w:t>
      </w:r>
      <w:proofErr w:type="spellEnd"/>
      <w:r w:rsidR="00B37139">
        <w:t xml:space="preserve"> initiative</w:t>
      </w:r>
      <w:r w:rsidR="004C309E">
        <w:t xml:space="preserve"> to </w:t>
      </w:r>
      <w:r w:rsidR="001F6C32">
        <w:t>identify</w:t>
      </w:r>
      <w:r w:rsidR="00ED712F">
        <w:t xml:space="preserve"> unique inventors. The disambiguation</w:t>
      </w:r>
      <w:r w:rsidR="00B37139">
        <w:t xml:space="preserve"> </w:t>
      </w:r>
      <w:r w:rsidR="002E1B70">
        <w:t>is based</w:t>
      </w:r>
      <w:r w:rsidR="00B37139">
        <w:t xml:space="preserve"> on an algorithm outlined in</w:t>
      </w:r>
      <w:r w:rsidR="004324AC">
        <w:t xml:space="preserve"> </w:t>
      </w:r>
      <w:r w:rsidR="004324AC">
        <w:fldChar w:fldCharType="begin" w:fldLock="1"/>
      </w:r>
      <w:r w:rsidR="00814EAA">
        <w:instrText>ADDIN CSL_CITATION {"citationItems":[{"id":"ITEM-1","itemData":{"DOI":"10.1016/j.respol.2014.01.012","ISSN":"00487333","abstract":"Research into invention, innovation policy, and technology strategy can greatly benefit from an accurate understanding of inventor careers. The United States Patent and Trademark Office does not provide unique inventor identifiers, however, making large-scale studies challenging. Many scholars of innovation have implemented ad-hoc disambiguation methods based on string similarity thresholds and string comparison matching; such methods have been shown to be vulnerable to a number of problems that can adversely affect research results. The authors address this issue contributing (1) an application of the Author-ity disambiguation approach (Torvik et al., 2005; Torvik and Smalheiser, 2009) to the US utility patent database, (2) a new iterative blocking scheme that expands the match space of this algorithm while maintaining scalability, (3) a public posting of the algorithm and code, and (4) a public posting of the results of the algorithm in the form of a database of inventors and their associated patents. The paper provides an overview of the disambiguation method, assesses its accuracy, and calculates network measures based on co-authorship and collaboration variables. It illustrates the potential for large-scale innovation studies across time and space with visualizations of inventor mobility across the United States. The complete input and results data from the original disambiguation are available at (http://dvn.iq.harvard.edu/dvn/dv/patent); revised data described here are at (http://funglab.berkeley.edu/pub/disamb-no- postpolishing.csv); original and revised code is available at (https://github.com/funginstitute/disambiguator); visualizations of inventor mobility are at (http://funglab.berkeley.edu/mobility/). © 2014 Elsevier B.V.","author":[{"dropping-particle":"","family":"Li","given":"Guan Cheng","non-dropping-particle":"","parse-names":false,"suffix":""},{"dropping-particle":"","family":"Lai","given":"Ronald","non-dropping-particle":"","parse-names":false,"suffix":""},{"dropping-particle":"","family":"D'Amour","given":"Alexander","non-dropping-particle":"","parse-names":false,"suffix":""},{"dropping-particle":"","family":"Doolin","given":"David M.","non-dropping-particle":"","parse-names":false,"suffix":""},{"dropping-particle":"","family":"Sun","given":"Ye","non-dropping-particle":"","parse-names":false,"suffix":""},{"dropping-particle":"","family":"Torvik","given":"Vetle I.","non-dropping-particle":"","parse-names":false,"suffix":""},{"dropping-particle":"","family":"Yu","given":"Amy Z.","non-dropping-particle":"","parse-names":false,"suffix":""},{"dropping-particle":"","family":"Lee","given":"Fleming","non-dropping-particle":"","parse-names":false,"suffix":""}],"container-title":"Research Policy","id":"ITEM-1","issue":"6","issued":{"date-parts":[["2014"]]},"page":"941-955","title":"Disambiguation and co-authorship networks of the U.S. patent inventor database (1975-2010)","type":"article-journal","volume":"43"},"uris":["http://www.mendeley.com/documents/?uuid=3f2199b4-55b7-47f7-b4e4-617718c66d56"]}],"mendeley":{"formattedCitation":"(Li et al., 2014)","manualFormatting":"Li et al. (2014)","plainTextFormattedCitation":"(Li et al., 2014)","previouslyFormattedCitation":"(Li et al., 2014)"},"properties":{"noteIndex":0},"schema":"https://github.com/citation-style-language/schema/raw/master/csl-citation.json"}</w:instrText>
      </w:r>
      <w:r w:rsidR="004324AC">
        <w:fldChar w:fldCharType="separate"/>
      </w:r>
      <w:r w:rsidR="004324AC" w:rsidRPr="004324AC">
        <w:rPr>
          <w:noProof/>
        </w:rPr>
        <w:t xml:space="preserve">Li et al. </w:t>
      </w:r>
      <w:r w:rsidR="004324AC">
        <w:rPr>
          <w:noProof/>
        </w:rPr>
        <w:t>(</w:t>
      </w:r>
      <w:r w:rsidR="004324AC" w:rsidRPr="004324AC">
        <w:rPr>
          <w:noProof/>
        </w:rPr>
        <w:t>2014)</w:t>
      </w:r>
      <w:r w:rsidR="004324AC">
        <w:fldChar w:fldCharType="end"/>
      </w:r>
      <w:r w:rsidR="00B37139">
        <w:t xml:space="preserve"> </w:t>
      </w:r>
      <w:r w:rsidR="00ED712F">
        <w:t xml:space="preserve">and </w:t>
      </w:r>
      <w:r w:rsidR="00B37139">
        <w:t>allows for a robust identification of individual inventors of granted US patents since 1976</w:t>
      </w:r>
      <w:r w:rsidR="0099392B">
        <w:t xml:space="preserve"> </w:t>
      </w:r>
      <w:r w:rsidR="0099392B">
        <w:fldChar w:fldCharType="begin" w:fldLock="1"/>
      </w:r>
      <w:r w:rsidR="00814EAA">
        <w:instrText>ADDIN CSL_CITATION {"citationItems":[{"id":"ITEM-1","itemData":{"DOI":"10.1287/mnsc.2019.3500","ISSN":"0025-1909","abstract":"This article investigates the effect of patent protection on the mobility of early-career employee-inventors. Using data on patent applications filed at the U.S. Patent and Trademark Office between 2001 and 2012 and examiner leniency as a source of exogenous variation in patent protection, we find that one additional patent granted decreases the likelihood of changing employers, on average, by 23%. This decrease is stronger when the employee has fewer coinventors, works outside the core of the firm, and produces more basic-research innovations. These findings are consistent with the idea that patents turn innovation-related skills into patent-holder-specific human capital.This paper was accepted by Ashish Arora, entrepreneurship and innovation.","author":[{"dropping-particle":"","family":"Melero","given":"Eduardo","non-dropping-particle":"","parse-names":false,"suffix":""},{"dropping-particle":"","family":"Palomeras","given":"Neus","non-dropping-particle":"","parse-names":false,"suffix":""},{"dropping-particle":"","family":"Wehrheim","given":"David","non-dropping-particle":"","parse-names":false,"suffix":""}],"container-title":"Management Science","id":"ITEM-1","issue":"1","issued":{"date-parts":[["2020"]]},"page":"12964","title":"The effect of patent protection on inventor mobility","type":"article-journal","volume":"2017"},"uris":["http://www.mendeley.com/documents/?uuid=61f1c4fa-dd91-4b55-9663-435031ad9515"]}],"mendeley":{"formattedCitation":"(Melero, Palomeras, &amp; Wehrheim, 2020)","plainTextFormattedCitation":"(Melero, Palomeras, &amp; Wehrheim, 2020)","previouslyFormattedCitation":"(Melero, Palomeras, &amp; Wehrheim, 2020)"},"properties":{"noteIndex":0},"schema":"https://github.com/citation-style-language/schema/raw/master/csl-citation.json"}</w:instrText>
      </w:r>
      <w:r w:rsidR="0099392B">
        <w:fldChar w:fldCharType="separate"/>
      </w:r>
      <w:r w:rsidR="00814EAA" w:rsidRPr="00814EAA">
        <w:rPr>
          <w:noProof/>
        </w:rPr>
        <w:t>(Melero, Palomeras, &amp; Wehrheim, 2020)</w:t>
      </w:r>
      <w:r w:rsidR="0099392B">
        <w:fldChar w:fldCharType="end"/>
      </w:r>
      <w:r w:rsidR="00B37139">
        <w:t xml:space="preserve">. </w:t>
      </w:r>
      <w:r w:rsidR="00BD6FD7">
        <w:t>In a second step</w:t>
      </w:r>
      <w:r w:rsidR="002431D1">
        <w:t>,</w:t>
      </w:r>
      <w:r w:rsidR="00BD6FD7">
        <w:t xml:space="preserve"> </w:t>
      </w:r>
      <w:r w:rsidR="00E5479C">
        <w:t xml:space="preserve">we link </w:t>
      </w:r>
      <w:r w:rsidR="007E22A9">
        <w:t>more than</w:t>
      </w:r>
      <w:r w:rsidR="00367A88">
        <w:t xml:space="preserve"> </w:t>
      </w:r>
      <w:r w:rsidR="00CD5C9A">
        <w:t>two</w:t>
      </w:r>
      <w:r w:rsidR="00367A88">
        <w:t xml:space="preserve"> million unique inventors</w:t>
      </w:r>
      <w:r w:rsidR="0085315A">
        <w:t xml:space="preserve"> </w:t>
      </w:r>
      <w:r w:rsidR="00367A88">
        <w:t xml:space="preserve">to over </w:t>
      </w:r>
      <w:r w:rsidR="00CD5C9A">
        <w:t>seven</w:t>
      </w:r>
      <w:r w:rsidR="00367A88">
        <w:t xml:space="preserve"> million patents. </w:t>
      </w:r>
      <w:r w:rsidR="00E5479C">
        <w:t>Next</w:t>
      </w:r>
      <w:r w:rsidR="00991739" w:rsidRPr="00D750CA">
        <w:t xml:space="preserve">, we identify star inventors based on the quantity and impact of their cumulative </w:t>
      </w:r>
      <w:r w:rsidR="00286CC2">
        <w:t>inventions</w:t>
      </w:r>
      <w:r w:rsidR="00367A88">
        <w:t>, i.e.</w:t>
      </w:r>
      <w:r w:rsidR="00D11E64">
        <w:t>,</w:t>
      </w:r>
      <w:r w:rsidR="00367A88">
        <w:t xml:space="preserve"> inventor performance, </w:t>
      </w:r>
      <w:r w:rsidR="00991739" w:rsidRPr="00D750CA">
        <w:t xml:space="preserve">following the approach proposed by </w:t>
      </w:r>
      <w:r w:rsidR="00991739" w:rsidRPr="00D750CA">
        <w:fldChar w:fldCharType="begin" w:fldLock="1"/>
      </w:r>
      <w:r w:rsidR="00814EAA">
        <w:instrText>ADDIN CSL_CITATION {"citationItems":[{"id":"ITEM-1","itemData":{"ISSN":"0149-2063","author":[{"dropping-particle":"","family":"Tzabbar","given":"Daniel","non-dropping-particle":"","parse-names":false,"suffix":""},{"dropping-particle":"","family":"Kehoe","given":"Rebecca R.","non-dropping-particle":"","parse-names":false,"suffix":""}],"container-title":"Journal of Management","id":"ITEM-1","issue":"2","issued":{"date-parts":[["2014","2","21"]]},"page":"449-482","title":"Can opportunity emerge from disarray? An examination of exploration and exploitation following star scientist turnover","type":"article-journal","volume":"40"},"uris":["http://www.mendeley.com/documents/?uuid=a0fd0ca0-6742-3f26-ac53-9ca3b2a55be2"]}],"mendeley":{"formattedCitation":"(Tzabbar &amp; Kehoe, 2014)","manualFormatting":"Tzabbar and Kehoe (2014)","plainTextFormattedCitation":"(Tzabbar &amp; Kehoe, 2014)","previouslyFormattedCitation":"(Tzabbar &amp; Kehoe, 2014)"},"properties":{"noteIndex":0},"schema":"https://github.com/citation-style-language/schema/raw/master/csl-citation.json"}</w:instrText>
      </w:r>
      <w:r w:rsidR="00991739" w:rsidRPr="00D750CA">
        <w:fldChar w:fldCharType="separate"/>
      </w:r>
      <w:r w:rsidR="00991739" w:rsidRPr="00D750CA">
        <w:rPr>
          <w:noProof/>
        </w:rPr>
        <w:t>Tzabbar and Kehoe (2014)</w:t>
      </w:r>
      <w:r w:rsidR="00991739" w:rsidRPr="00D750CA">
        <w:fldChar w:fldCharType="end"/>
      </w:r>
      <w:r w:rsidR="00991739" w:rsidRPr="00D750CA">
        <w:t xml:space="preserve">. </w:t>
      </w:r>
      <w:r w:rsidR="00367A88">
        <w:t>W</w:t>
      </w:r>
      <w:r w:rsidR="00991739" w:rsidRPr="00D750CA">
        <w:t xml:space="preserve">e calculate inventor performance as the product of </w:t>
      </w:r>
      <w:r w:rsidR="000A3DE6">
        <w:t>two factors. The first is</w:t>
      </w:r>
      <w:r w:rsidR="00991739" w:rsidRPr="00D750CA">
        <w:t xml:space="preserve"> the number of patents (</w:t>
      </w:r>
      <w:proofErr w:type="spellStart"/>
      <w:r w:rsidR="00991739" w:rsidRPr="00D750CA">
        <w:rPr>
          <w:i/>
        </w:rPr>
        <w:t>InvPat</w:t>
      </w:r>
      <w:r w:rsidR="00991739" w:rsidRPr="00D750CA">
        <w:rPr>
          <w:i/>
          <w:vertAlign w:val="subscript"/>
        </w:rPr>
        <w:t>ij</w:t>
      </w:r>
      <w:proofErr w:type="spellEnd"/>
      <w:r w:rsidR="00991739" w:rsidRPr="00D750CA">
        <w:t xml:space="preserve">) for which inventor </w:t>
      </w:r>
      <w:proofErr w:type="spellStart"/>
      <w:r w:rsidR="00991739" w:rsidRPr="00D750CA">
        <w:rPr>
          <w:i/>
        </w:rPr>
        <w:t>i</w:t>
      </w:r>
      <w:proofErr w:type="spellEnd"/>
      <w:r w:rsidR="00991739" w:rsidRPr="00D750CA">
        <w:t xml:space="preserve"> applied by year </w:t>
      </w:r>
      <w:r w:rsidR="00991739" w:rsidRPr="00D750CA">
        <w:rPr>
          <w:i/>
        </w:rPr>
        <w:t>t</w:t>
      </w:r>
      <w:r w:rsidR="00991739" w:rsidRPr="00D750CA">
        <w:t>, divided by the years since the inventor’s first patent filing (</w:t>
      </w:r>
      <w:proofErr w:type="spellStart"/>
      <w:r w:rsidR="00991739" w:rsidRPr="00D750CA">
        <w:rPr>
          <w:i/>
        </w:rPr>
        <w:t>IndTenure</w:t>
      </w:r>
      <w:r w:rsidR="00991739" w:rsidRPr="00D750CA">
        <w:rPr>
          <w:i/>
          <w:vertAlign w:val="subscript"/>
        </w:rPr>
        <w:t>it</w:t>
      </w:r>
      <w:proofErr w:type="spellEnd"/>
      <w:r w:rsidR="00991739" w:rsidRPr="00D750CA">
        <w:t>)</w:t>
      </w:r>
      <w:r w:rsidR="000A3DE6">
        <w:t xml:space="preserve">. This is multiplied by </w:t>
      </w:r>
      <w:r w:rsidR="00991739" w:rsidRPr="00D750CA">
        <w:t xml:space="preserve">the </w:t>
      </w:r>
      <w:r w:rsidR="000A3DE6">
        <w:t xml:space="preserve">second factor, the </w:t>
      </w:r>
      <w:r w:rsidR="00991739" w:rsidRPr="00D750CA">
        <w:t xml:space="preserve">sum of forward citations to all patents filed by inventor </w:t>
      </w:r>
      <w:proofErr w:type="spellStart"/>
      <w:r w:rsidR="00991739" w:rsidRPr="00D750CA">
        <w:rPr>
          <w:i/>
        </w:rPr>
        <w:t>i</w:t>
      </w:r>
      <w:proofErr w:type="spellEnd"/>
      <w:r w:rsidR="00991739" w:rsidRPr="00D750CA">
        <w:t xml:space="preserve"> by year </w:t>
      </w:r>
      <w:r w:rsidR="00991739" w:rsidRPr="00D750CA">
        <w:rPr>
          <w:i/>
        </w:rPr>
        <w:t>t</w:t>
      </w:r>
      <w:r w:rsidR="00991739" w:rsidRPr="00D750CA">
        <w:t xml:space="preserve"> (</w:t>
      </w:r>
      <w:proofErr w:type="spellStart"/>
      <w:r w:rsidR="00991739" w:rsidRPr="00D750CA">
        <w:rPr>
          <w:i/>
        </w:rPr>
        <w:t>ForwardCite</w:t>
      </w:r>
      <w:r w:rsidR="00991739" w:rsidRPr="00D750CA">
        <w:rPr>
          <w:i/>
          <w:vertAlign w:val="subscript"/>
        </w:rPr>
        <w:t>ijt</w:t>
      </w:r>
      <w:proofErr w:type="spellEnd"/>
      <w:r w:rsidR="00991739" w:rsidRPr="00D750CA">
        <w:t>) discounted by the years since the patent</w:t>
      </w:r>
      <w:r w:rsidR="0066328A">
        <w:t>s</w:t>
      </w:r>
      <w:r w:rsidR="00991739" w:rsidRPr="00D750CA">
        <w:t xml:space="preserve"> w</w:t>
      </w:r>
      <w:r w:rsidR="0066328A">
        <w:t>ere</w:t>
      </w:r>
      <w:r w:rsidR="00991739" w:rsidRPr="00D750CA">
        <w:t xml:space="preserve"> granted (</w:t>
      </w:r>
      <w:proofErr w:type="spellStart"/>
      <w:r w:rsidR="00991739" w:rsidRPr="00D750CA">
        <w:rPr>
          <w:i/>
        </w:rPr>
        <w:t>YearsSincePatGrant</w:t>
      </w:r>
      <w:r w:rsidR="00991739" w:rsidRPr="00D750CA">
        <w:rPr>
          <w:i/>
          <w:vertAlign w:val="subscript"/>
        </w:rPr>
        <w:t>ijt</w:t>
      </w:r>
      <w:proofErr w:type="spellEnd"/>
      <w:r w:rsidR="00991739" w:rsidRPr="00D750CA">
        <w:t>):</w:t>
      </w:r>
    </w:p>
    <w:p w14:paraId="43250C83" w14:textId="23ECC473" w:rsidR="009E2C8C" w:rsidRPr="00CD36A2" w:rsidRDefault="00991739" w:rsidP="005A2721">
      <m:oMathPara>
        <m:oMath>
          <m:r>
            <w:rPr>
              <w:rFonts w:ascii="Cambria Math" w:hAnsi="Cambria Math"/>
            </w:rPr>
            <m:t>InvPerformance</m:t>
          </m:r>
          <m:r>
            <m:rPr>
              <m:sty m:val="p"/>
            </m:rPr>
            <w:rPr>
              <w:rFonts w:ascii="Cambria Math" w:hAnsi="Cambria Math"/>
            </w:rPr>
            <m:t>=</m:t>
          </m:r>
          <m:d>
            <m:dPr>
              <m:begChr m:val="["/>
              <m:endChr m:val="]"/>
              <m:ctrlPr>
                <w:rPr>
                  <w:rFonts w:ascii="Cambria Math" w:hAnsi="Cambria Math"/>
                </w:rPr>
              </m:ctrlPr>
            </m:dPr>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InvPat</m:t>
                          </m:r>
                        </m:e>
                        <m:sub>
                          <m:r>
                            <w:rPr>
                              <w:rFonts w:ascii="Cambria Math" w:hAnsi="Cambria Math"/>
                            </w:rPr>
                            <m:t>it</m:t>
                          </m:r>
                        </m:sub>
                      </m:sSub>
                    </m:num>
                    <m:den>
                      <m:sSub>
                        <m:sSubPr>
                          <m:ctrlPr>
                            <w:rPr>
                              <w:rFonts w:ascii="Cambria Math" w:hAnsi="Cambria Math"/>
                            </w:rPr>
                          </m:ctrlPr>
                        </m:sSubPr>
                        <m:e>
                          <m:r>
                            <w:rPr>
                              <w:rFonts w:ascii="Cambria Math" w:hAnsi="Cambria Math"/>
                            </w:rPr>
                            <m:t>IndTenure</m:t>
                          </m:r>
                        </m:e>
                        <m:sub>
                          <m:r>
                            <w:rPr>
                              <w:rFonts w:ascii="Cambria Math" w:hAnsi="Cambria Math"/>
                            </w:rPr>
                            <m:t>it</m:t>
                          </m:r>
                        </m:sub>
                      </m:sSub>
                    </m:den>
                  </m:f>
                </m:e>
              </m:d>
            </m:e>
          </m:d>
          <m:r>
            <m:rPr>
              <m:sty m:val="p"/>
            </m:rPr>
            <w:rPr>
              <w:rFonts w:ascii="Cambria Math" w:hAnsi="Cambria Math"/>
            </w:rPr>
            <m:t>×</m:t>
          </m:r>
          <m:nary>
            <m:naryPr>
              <m:chr m:val="∑"/>
              <m:limLoc m:val="undOvr"/>
              <m:subHide m:val="1"/>
              <m:supHide m:val="1"/>
              <m:ctrlPr>
                <w:rPr>
                  <w:rFonts w:ascii="Cambria Math" w:hAnsi="Cambria Math"/>
                </w:rPr>
              </m:ctrlPr>
            </m:naryPr>
            <m:sub/>
            <m:sup/>
            <m:e>
              <m:d>
                <m:dPr>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ForwardCite</m:t>
                          </m:r>
                        </m:e>
                        <m:sub>
                          <m:r>
                            <w:rPr>
                              <w:rFonts w:ascii="Cambria Math" w:hAnsi="Cambria Math"/>
                            </w:rPr>
                            <m:t>ijt</m:t>
                          </m:r>
                        </m:sub>
                      </m:sSub>
                    </m:num>
                    <m:den>
                      <m:sSub>
                        <m:sSubPr>
                          <m:ctrlPr>
                            <w:rPr>
                              <w:rFonts w:ascii="Cambria Math" w:hAnsi="Cambria Math"/>
                            </w:rPr>
                          </m:ctrlPr>
                        </m:sSubPr>
                        <m:e>
                          <m:r>
                            <w:rPr>
                              <w:rFonts w:ascii="Cambria Math" w:hAnsi="Cambria Math"/>
                            </w:rPr>
                            <m:t>YearsSincePatGrant</m:t>
                          </m:r>
                        </m:e>
                        <m:sub>
                          <m:r>
                            <w:rPr>
                              <w:rFonts w:ascii="Cambria Math" w:hAnsi="Cambria Math"/>
                            </w:rPr>
                            <m:t>ijt</m:t>
                          </m:r>
                        </m:sub>
                      </m:sSub>
                    </m:den>
                  </m:f>
                </m:e>
              </m:d>
            </m:e>
          </m:nary>
        </m:oMath>
      </m:oMathPara>
    </w:p>
    <w:p w14:paraId="4E1DA8C2" w14:textId="57FB9C79" w:rsidR="00367A88" w:rsidRPr="00D750CA" w:rsidRDefault="00991739" w:rsidP="005A2721">
      <w:r w:rsidRPr="00D750CA">
        <w:t xml:space="preserve">We update this inventor performance measure on a yearly basis once an inventor has entered the dataset through a first patent filing. </w:t>
      </w:r>
      <w:bookmarkStart w:id="5" w:name="_Hlk59445047"/>
      <w:r w:rsidRPr="00D750CA">
        <w:t xml:space="preserve">We </w:t>
      </w:r>
      <w:r w:rsidR="00367A88">
        <w:t>determine</w:t>
      </w:r>
      <w:r w:rsidRPr="00D750CA">
        <w:t xml:space="preserve"> an inventor’s main industry based on the technology field </w:t>
      </w:r>
      <w:r w:rsidRPr="00D750CA">
        <w:fldChar w:fldCharType="begin" w:fldLock="1"/>
      </w:r>
      <w:r w:rsidR="00814EAA">
        <w:instrText>ADDIN CSL_CITATION {"citationItems":[{"id":"ITEM-1","itemData":{"abstract":"Cited by Corsino et al. (2019, SMJ)","author":[{"dropping-particle":"","family":"Schmoch","given":"Ulrich","non-dropping-particle":"","parse-names":false,"suffix":""}],"container-title":"Final report to the World Intellectual Property Organization (WIPO)","id":"ITEM-1","issue":"June","issued":{"date-parts":[["2008"]]},"number-of-pages":"1-15","title":"Concept of a technology classification for country comparisons","type":"report"},"uris":["http://www.mendeley.com/documents/?uuid=e530015b-1731-3b33-b6c8-c4f06520b24a"]}],"mendeley":{"formattedCitation":"(Schmoch, 2008)","plainTextFormattedCitation":"(Schmoch, 2008)","previouslyFormattedCitation":"(Schmoch, 2008)"},"properties":{"noteIndex":0},"schema":"https://github.com/citation-style-language/schema/raw/master/csl-citation.json"}</w:instrText>
      </w:r>
      <w:r w:rsidRPr="00D750CA">
        <w:fldChar w:fldCharType="separate"/>
      </w:r>
      <w:r w:rsidR="00814EAA" w:rsidRPr="00814EAA">
        <w:rPr>
          <w:noProof/>
        </w:rPr>
        <w:t>(Schmoch, 2008)</w:t>
      </w:r>
      <w:r w:rsidRPr="00D750CA">
        <w:fldChar w:fldCharType="end"/>
      </w:r>
      <w:r w:rsidRPr="00D750CA">
        <w:t xml:space="preserve"> </w:t>
      </w:r>
      <w:r w:rsidR="003D48D6">
        <w:t xml:space="preserve">in which </w:t>
      </w:r>
      <w:r w:rsidR="00367A88">
        <w:t>an</w:t>
      </w:r>
      <w:r w:rsidRPr="00D750CA">
        <w:t xml:space="preserve"> inventor</w:t>
      </w:r>
      <w:r w:rsidR="00367A88">
        <w:t xml:space="preserve"> </w:t>
      </w:r>
      <w:proofErr w:type="spellStart"/>
      <w:r w:rsidR="00367A88" w:rsidRPr="00D750CA">
        <w:rPr>
          <w:i/>
        </w:rPr>
        <w:t>i</w:t>
      </w:r>
      <w:proofErr w:type="spellEnd"/>
      <w:r w:rsidR="00367A88" w:rsidRPr="00D750CA">
        <w:t xml:space="preserve"> </w:t>
      </w:r>
      <w:r w:rsidRPr="00D750CA">
        <w:t>has filed</w:t>
      </w:r>
      <w:r w:rsidR="00952062">
        <w:t xml:space="preserve"> most of his or her patent</w:t>
      </w:r>
      <w:r w:rsidR="003D48D6">
        <w:t>s</w:t>
      </w:r>
      <w:r w:rsidR="00367A88">
        <w:t xml:space="preserve"> by year </w:t>
      </w:r>
      <w:r w:rsidR="00367A88" w:rsidRPr="00D750CA">
        <w:rPr>
          <w:i/>
        </w:rPr>
        <w:t>t</w:t>
      </w:r>
      <w:r w:rsidR="00952062">
        <w:t xml:space="preserve">. </w:t>
      </w:r>
      <w:bookmarkEnd w:id="5"/>
      <w:r w:rsidR="00AF420C" w:rsidRPr="00996DA4">
        <w:t>This implies that the inventor’s main industry may vary over time as stars are conceptualized relative to their peers. Therefore, it is important to define and ad</w:t>
      </w:r>
      <w:r w:rsidR="00AF420C">
        <w:t>a</w:t>
      </w:r>
      <w:r w:rsidR="00AF420C" w:rsidRPr="00996DA4">
        <w:t>pt</w:t>
      </w:r>
      <w:r w:rsidR="00AF420C">
        <w:t xml:space="preserve"> </w:t>
      </w:r>
      <w:r w:rsidR="00AF420C" w:rsidRPr="00996DA4">
        <w:t>the</w:t>
      </w:r>
      <w:r w:rsidR="00893545">
        <w:t xml:space="preserve"> peer</w:t>
      </w:r>
      <w:r w:rsidR="00AF420C" w:rsidRPr="00996DA4">
        <w:t xml:space="preserve"> group in case stars switch between fields</w:t>
      </w:r>
      <w:r w:rsidR="00AF420C">
        <w:t xml:space="preserve">. </w:t>
      </w:r>
      <w:r w:rsidR="00367A88" w:rsidRPr="00D750CA">
        <w:t xml:space="preserve">As exemplified in Figure 1, we </w:t>
      </w:r>
      <w:r w:rsidR="001F6C32">
        <w:t>follow prior research (</w:t>
      </w:r>
      <w:proofErr w:type="spellStart"/>
      <w:r w:rsidR="00CD5C9A">
        <w:t>Tzabbar</w:t>
      </w:r>
      <w:proofErr w:type="spellEnd"/>
      <w:r w:rsidR="00CD5C9A">
        <w:t xml:space="preserve"> &amp; Kehoe 2014</w:t>
      </w:r>
      <w:r w:rsidR="001F6C32">
        <w:t xml:space="preserve">) and </w:t>
      </w:r>
      <w:r w:rsidR="00BD6FD7">
        <w:t xml:space="preserve">consider </w:t>
      </w:r>
      <w:r w:rsidR="00367A88" w:rsidRPr="00D750CA">
        <w:t xml:space="preserve">every inventor with an inventor </w:t>
      </w:r>
      <w:r w:rsidR="00367A88" w:rsidRPr="00D750CA">
        <w:lastRenderedPageBreak/>
        <w:t xml:space="preserve">performance score of more than two standard deviations above the mean for a given year in a given industry as a star inventor. </w:t>
      </w:r>
    </w:p>
    <w:tbl>
      <w:tblPr>
        <w:tblStyle w:val="TableGrid"/>
        <w:tblW w:w="0" w:type="auto"/>
        <w:jc w:val="center"/>
        <w:tblLook w:val="04A0" w:firstRow="1" w:lastRow="0" w:firstColumn="1" w:lastColumn="0" w:noHBand="0" w:noVBand="1"/>
      </w:tblPr>
      <w:tblGrid>
        <w:gridCol w:w="2835"/>
      </w:tblGrid>
      <w:tr w:rsidR="00367A88" w:rsidRPr="00D750CA" w14:paraId="441CDF90" w14:textId="77777777" w:rsidTr="005136C9">
        <w:trPr>
          <w:trHeight w:val="385"/>
          <w:jc w:val="center"/>
        </w:trPr>
        <w:tc>
          <w:tcPr>
            <w:tcW w:w="2835" w:type="dxa"/>
            <w:tcBorders>
              <w:top w:val="single" w:sz="4" w:space="0" w:color="auto"/>
              <w:left w:val="nil"/>
              <w:bottom w:val="single" w:sz="4" w:space="0" w:color="auto"/>
              <w:right w:val="nil"/>
            </w:tcBorders>
            <w:vAlign w:val="center"/>
          </w:tcPr>
          <w:p w14:paraId="62DFF091" w14:textId="77777777" w:rsidR="00367A88" w:rsidRPr="00D750CA" w:rsidRDefault="00367A88" w:rsidP="005136C9">
            <w:pPr>
              <w:spacing w:line="240" w:lineRule="auto"/>
              <w:ind w:firstLine="0"/>
              <w:jc w:val="center"/>
            </w:pPr>
            <w:r w:rsidRPr="00D750CA">
              <w:t>Insert Figure 1 about here</w:t>
            </w:r>
          </w:p>
        </w:tc>
      </w:tr>
    </w:tbl>
    <w:p w14:paraId="1B6E9272" w14:textId="77777777" w:rsidR="00D17D90" w:rsidRDefault="00367A88" w:rsidP="00DC0D0A">
      <w:pPr>
        <w:spacing w:before="360"/>
      </w:pPr>
      <w:r w:rsidRPr="00D750CA">
        <w:t>Altogether, we identify 91,762 star</w:t>
      </w:r>
      <w:r w:rsidR="007E22A9">
        <w:t>-</w:t>
      </w:r>
      <w:r w:rsidRPr="00D750CA">
        <w:t>inventor</w:t>
      </w:r>
      <w:r w:rsidR="00546294">
        <w:t>-</w:t>
      </w:r>
      <w:r w:rsidRPr="00D750CA">
        <w:t>years in the sample</w:t>
      </w:r>
      <w:r w:rsidR="00BD6FD7">
        <w:t>.</w:t>
      </w:r>
      <w:r w:rsidR="009B37C8">
        <w:t xml:space="preserve"> </w:t>
      </w:r>
      <w:r w:rsidR="00BD601B">
        <w:t>These star</w:t>
      </w:r>
      <w:r w:rsidR="007E22A9">
        <w:t>-i</w:t>
      </w:r>
      <w:r w:rsidR="00BD601B">
        <w:t>nventor</w:t>
      </w:r>
      <w:r w:rsidR="007E22A9">
        <w:t>-</w:t>
      </w:r>
      <w:r w:rsidR="00BD601B">
        <w:t>years can be attributed to less than one percent of inve</w:t>
      </w:r>
      <w:r w:rsidR="00705AFD">
        <w:t>n</w:t>
      </w:r>
      <w:r w:rsidR="00BD601B">
        <w:t xml:space="preserve">tors who ever filed a patent </w:t>
      </w:r>
      <w:r w:rsidR="00CD36A2">
        <w:t xml:space="preserve">at </w:t>
      </w:r>
      <w:r w:rsidR="00BD601B">
        <w:t>the USPTO</w:t>
      </w:r>
      <w:r w:rsidR="00444B12">
        <w:t xml:space="preserve">. Yet, </w:t>
      </w:r>
      <w:r>
        <w:t>they</w:t>
      </w:r>
      <w:r w:rsidRPr="00D750CA">
        <w:t xml:space="preserve"> are responsible for more than 20% of </w:t>
      </w:r>
      <w:r w:rsidR="00BD601B">
        <w:t>all</w:t>
      </w:r>
      <w:r w:rsidRPr="00D750CA">
        <w:t xml:space="preserve"> patents filed </w:t>
      </w:r>
      <w:r w:rsidR="00BD601B">
        <w:t>between 19</w:t>
      </w:r>
      <w:r w:rsidR="00090A0A">
        <w:t>90</w:t>
      </w:r>
      <w:r w:rsidR="00BD601B">
        <w:t xml:space="preserve"> and 201</w:t>
      </w:r>
      <w:r w:rsidR="00090A0A">
        <w:t>0</w:t>
      </w:r>
      <w:r w:rsidRPr="00D750CA">
        <w:t>. This underlines the disproportiona</w:t>
      </w:r>
      <w:r w:rsidR="00705AFD">
        <w:t>te</w:t>
      </w:r>
      <w:r w:rsidRPr="00D750CA">
        <w:t xml:space="preserve"> contribution of star inventors and lends credence to our star identification </w:t>
      </w:r>
      <w:r w:rsidR="001F6C32">
        <w:t>procedure</w:t>
      </w:r>
      <w:r w:rsidRPr="00D750CA">
        <w:t>.</w:t>
      </w:r>
      <w:r w:rsidR="009B37C8">
        <w:t xml:space="preserve"> </w:t>
      </w:r>
    </w:p>
    <w:p w14:paraId="41479F0B" w14:textId="1D9169AA" w:rsidR="00684448" w:rsidRDefault="00546294" w:rsidP="005A2721">
      <w:r>
        <w:t>Since we are interested in the difference in knowledge recombination breadth of inventor teams with one female v</w:t>
      </w:r>
      <w:r w:rsidR="00CD36A2">
        <w:t>ersus</w:t>
      </w:r>
      <w:r>
        <w:t xml:space="preserve"> one male star, </w:t>
      </w:r>
      <w:r w:rsidR="00C12F1F">
        <w:t xml:space="preserve">we </w:t>
      </w:r>
      <w:r w:rsidR="007E22A9">
        <w:t xml:space="preserve">further </w:t>
      </w:r>
      <w:r w:rsidR="00C12F1F">
        <w:t xml:space="preserve">limit the sample to </w:t>
      </w:r>
      <w:r w:rsidR="00F40DFE">
        <w:t xml:space="preserve">patents filed by exactly </w:t>
      </w:r>
      <w:proofErr w:type="gramStart"/>
      <w:r w:rsidR="00F40DFE">
        <w:t>one star</w:t>
      </w:r>
      <w:proofErr w:type="gramEnd"/>
      <w:r w:rsidR="00F40DFE">
        <w:t xml:space="preserve"> inventor and at least one non-star coinventor. </w:t>
      </w:r>
      <w:r w:rsidR="009038AF">
        <w:t>W</w:t>
      </w:r>
      <w:r w:rsidR="00734857">
        <w:t>e exclude all private inventions, i.e.</w:t>
      </w:r>
      <w:r w:rsidR="000124FD">
        <w:t>,</w:t>
      </w:r>
      <w:r w:rsidR="00734857">
        <w:t xml:space="preserve"> patents filed without an organization</w:t>
      </w:r>
      <w:r w:rsidR="00705AFD">
        <w:t>,</w:t>
      </w:r>
      <w:r w:rsidR="00734857">
        <w:t xml:space="preserve"> </w:t>
      </w:r>
      <w:r w:rsidR="004E0986">
        <w:t>as we aim to investigate team process</w:t>
      </w:r>
      <w:r w:rsidR="007E22A9">
        <w:t>es</w:t>
      </w:r>
      <w:r w:rsidR="004E0986">
        <w:t xml:space="preserve"> in organizational settings. </w:t>
      </w:r>
      <w:r w:rsidR="000124FD">
        <w:t xml:space="preserve">For the </w:t>
      </w:r>
      <w:r w:rsidR="00C308B9">
        <w:t>observations</w:t>
      </w:r>
      <w:r w:rsidR="000124FD">
        <w:t xml:space="preserve"> retained in the sample, we derive the gender of the star based on the procedure described in Appendix </w:t>
      </w:r>
      <w:r w:rsidR="00F00409">
        <w:t>1</w:t>
      </w:r>
      <w:r w:rsidR="000124FD">
        <w:t xml:space="preserve"> and </w:t>
      </w:r>
      <w:r w:rsidR="000124FD" w:rsidRPr="00625767">
        <w:t>only keep stars for wh</w:t>
      </w:r>
      <w:r w:rsidR="00615B79">
        <w:t>om</w:t>
      </w:r>
      <w:r w:rsidR="000124FD" w:rsidRPr="00625767">
        <w:t xml:space="preserve"> we can reliabl</w:t>
      </w:r>
      <w:r w:rsidR="000124FD">
        <w:t>y</w:t>
      </w:r>
      <w:r w:rsidR="000124FD" w:rsidRPr="00625767">
        <w:t xml:space="preserve"> disambiguate gender</w:t>
      </w:r>
      <w:r w:rsidR="000124FD">
        <w:t xml:space="preserve">. </w:t>
      </w:r>
      <w:r w:rsidR="007E22A9">
        <w:t>Following the outlined steps</w:t>
      </w:r>
      <w:r w:rsidR="00F40DFE">
        <w:t xml:space="preserve"> </w:t>
      </w:r>
      <w:r w:rsidR="007E22A9">
        <w:t>leaves us with</w:t>
      </w:r>
      <w:r w:rsidR="00F40DFE">
        <w:t xml:space="preserve"> approximately </w:t>
      </w:r>
      <w:r w:rsidR="000124FD">
        <w:t>55</w:t>
      </w:r>
      <w:r w:rsidR="00F40DFE">
        <w:t xml:space="preserve">,000 </w:t>
      </w:r>
      <w:r w:rsidR="008E5C18">
        <w:t xml:space="preserve">teams that </w:t>
      </w:r>
      <w:r w:rsidR="00F40DFE">
        <w:t>filed</w:t>
      </w:r>
      <w:r w:rsidR="008E5C18">
        <w:t xml:space="preserve"> patents with</w:t>
      </w:r>
      <w:r w:rsidR="00F40DFE">
        <w:t xml:space="preserve"> roughly </w:t>
      </w:r>
      <w:r w:rsidR="000124FD">
        <w:t>7</w:t>
      </w:r>
      <w:r w:rsidR="00F40DFE">
        <w:t>,000</w:t>
      </w:r>
      <w:r w:rsidR="008E5C18">
        <w:t xml:space="preserve"> distinct</w:t>
      </w:r>
      <w:r w:rsidR="00F40DFE">
        <w:t xml:space="preserve"> star inventor</w:t>
      </w:r>
      <w:r w:rsidR="00BB0E35">
        <w:t>s</w:t>
      </w:r>
      <w:r w:rsidR="009005B9">
        <w:t>. Of these</w:t>
      </w:r>
      <w:r w:rsidR="00D85105">
        <w:t xml:space="preserve"> teams</w:t>
      </w:r>
      <w:r w:rsidR="009005B9">
        <w:t xml:space="preserve">, </w:t>
      </w:r>
      <w:r w:rsidR="00B31CD3">
        <w:t xml:space="preserve">951 </w:t>
      </w:r>
      <w:r w:rsidR="009005B9">
        <w:t xml:space="preserve">involved </w:t>
      </w:r>
      <w:r w:rsidR="00C73356">
        <w:t>one of 189</w:t>
      </w:r>
      <w:r w:rsidR="009005B9">
        <w:t xml:space="preserve"> female star</w:t>
      </w:r>
      <w:r w:rsidR="00C52353">
        <w:t xml:space="preserve"> inventors</w:t>
      </w:r>
      <w:r w:rsidR="00286CC2">
        <w:t>.</w:t>
      </w:r>
    </w:p>
    <w:p w14:paraId="229D1ABD" w14:textId="3A06BDF8" w:rsidR="003A5E30" w:rsidRDefault="002D210A" w:rsidP="005A2721">
      <w:r w:rsidRPr="005A2721">
        <w:rPr>
          <w:b/>
          <w:i/>
        </w:rPr>
        <w:t xml:space="preserve">Matching </w:t>
      </w:r>
      <w:r w:rsidR="008337DF">
        <w:rPr>
          <w:b/>
          <w:i/>
        </w:rPr>
        <w:t>team</w:t>
      </w:r>
      <w:r w:rsidR="008E5C18">
        <w:rPr>
          <w:b/>
          <w:i/>
        </w:rPr>
        <w:t>s</w:t>
      </w:r>
      <w:r w:rsidR="008337DF">
        <w:rPr>
          <w:b/>
          <w:i/>
        </w:rPr>
        <w:t xml:space="preserve"> with </w:t>
      </w:r>
      <w:r w:rsidRPr="005A2721">
        <w:rPr>
          <w:b/>
          <w:i/>
        </w:rPr>
        <w:t>female star</w:t>
      </w:r>
      <w:r w:rsidR="008337DF">
        <w:rPr>
          <w:b/>
          <w:i/>
        </w:rPr>
        <w:t>s</w:t>
      </w:r>
      <w:r w:rsidR="00BA5C4F">
        <w:rPr>
          <w:b/>
          <w:i/>
        </w:rPr>
        <w:t xml:space="preserve"> </w:t>
      </w:r>
      <w:r w:rsidRPr="005A2721">
        <w:rPr>
          <w:b/>
          <w:i/>
        </w:rPr>
        <w:t xml:space="preserve">to </w:t>
      </w:r>
      <w:r w:rsidR="008337DF">
        <w:rPr>
          <w:b/>
          <w:i/>
        </w:rPr>
        <w:t xml:space="preserve">teams with </w:t>
      </w:r>
      <w:r w:rsidRPr="005A2721">
        <w:rPr>
          <w:b/>
          <w:i/>
        </w:rPr>
        <w:t>male star</w:t>
      </w:r>
      <w:r w:rsidR="008337DF">
        <w:rPr>
          <w:b/>
          <w:i/>
        </w:rPr>
        <w:t>s</w:t>
      </w:r>
      <w:r w:rsidR="005A2721">
        <w:rPr>
          <w:b/>
          <w:i/>
        </w:rPr>
        <w:t>.</w:t>
      </w:r>
      <w:r w:rsidR="00BA5C4F">
        <w:rPr>
          <w:b/>
        </w:rPr>
        <w:t xml:space="preserve"> </w:t>
      </w:r>
      <w:r w:rsidR="00FE298B">
        <w:t>Even though</w:t>
      </w:r>
      <w:r w:rsidR="00F45BC7" w:rsidRPr="002E0C07">
        <w:t xml:space="preserve"> the proportion of female stars has steadily increased over the years</w:t>
      </w:r>
      <w:r w:rsidR="00870E41">
        <w:t xml:space="preserve"> </w:t>
      </w:r>
      <w:r w:rsidR="00870E41">
        <w:fldChar w:fldCharType="begin" w:fldLock="1"/>
      </w:r>
      <w:r w:rsidR="00814EAA">
        <w:instrText>ADDIN CSL_CITATION {"citationItems":[{"id":"ITEM-1","itemData":{"URL":"https://www.uspto.gov/ip-policy/economic-research/publications/reports/progress-potential","accessed":{"date-parts":[["2019","11","28"]]},"author":[{"dropping-particle":"","family":"USPTO","given":"","non-dropping-particle":"","parse-names":false,"suffix":""}],"id":"ITEM-1","issued":{"date-parts":[["2019"]]},"title":"Progress and potential: A profile of women inventors on U.S. patents","type":"webpage"},"uris":["http://www.mendeley.com/documents/?uuid=6f8150ee-cb98-3305-8d14-e9ecbd33033c"]}],"mendeley":{"formattedCitation":"(USPTO, 2019)","manualFormatting":"(see also USPTO, 2019)","plainTextFormattedCitation":"(USPTO, 2019)","previouslyFormattedCitation":"(USPTO, 2019)"},"properties":{"noteIndex":0},"schema":"https://github.com/citation-style-language/schema/raw/master/csl-citation.json"}</w:instrText>
      </w:r>
      <w:r w:rsidR="00870E41">
        <w:fldChar w:fldCharType="separate"/>
      </w:r>
      <w:r w:rsidR="00870E41" w:rsidRPr="00870E41">
        <w:rPr>
          <w:noProof/>
        </w:rPr>
        <w:t>(</w:t>
      </w:r>
      <w:r w:rsidR="00870E41">
        <w:rPr>
          <w:noProof/>
        </w:rPr>
        <w:t xml:space="preserve">see also </w:t>
      </w:r>
      <w:r w:rsidR="00870E41" w:rsidRPr="00870E41">
        <w:rPr>
          <w:noProof/>
        </w:rPr>
        <w:t>USPTO, 2019)</w:t>
      </w:r>
      <w:r w:rsidR="00870E41">
        <w:fldChar w:fldCharType="end"/>
      </w:r>
      <w:r w:rsidR="00F45BC7" w:rsidRPr="002E0C07">
        <w:t xml:space="preserve">, female stars continue to be </w:t>
      </w:r>
      <w:r w:rsidR="00CC2531">
        <w:t xml:space="preserve">substantially </w:t>
      </w:r>
      <w:r w:rsidR="00F45BC7" w:rsidRPr="002E0C07">
        <w:t xml:space="preserve">underrepresented among star inventors. </w:t>
      </w:r>
      <w:r w:rsidR="00FE298B" w:rsidRPr="00FE298B">
        <w:t xml:space="preserve">As summarized in Appendix </w:t>
      </w:r>
      <w:r w:rsidR="00F00409">
        <w:t>2</w:t>
      </w:r>
      <w:r w:rsidR="00FE298B" w:rsidRPr="00FE298B">
        <w:t>, women make up 2.64% of star inventors (from 1990-2010), with the highest shares in the fields of biotechnology (9.64%) and basic material chemistry (7.05%)</w:t>
      </w:r>
      <w:r w:rsidR="002F2B7D">
        <w:t>, i.e.</w:t>
      </w:r>
      <w:r w:rsidR="003D48D6">
        <w:t>,</w:t>
      </w:r>
      <w:r w:rsidR="00FE298B" w:rsidRPr="00FE298B">
        <w:t xml:space="preserve"> fields which tend to have higher rates of female participation in general. </w:t>
      </w:r>
      <w:r w:rsidR="002F2B7D">
        <w:t>Besides these differences in the</w:t>
      </w:r>
      <w:r w:rsidR="00FE298B">
        <w:t xml:space="preserve"> representation of female </w:t>
      </w:r>
      <w:r w:rsidR="002F2B7D">
        <w:t>v</w:t>
      </w:r>
      <w:r w:rsidR="00C77C2F">
        <w:t>ersu</w:t>
      </w:r>
      <w:r w:rsidR="002F2B7D">
        <w:t>s</w:t>
      </w:r>
      <w:r w:rsidR="00FE298B">
        <w:t xml:space="preserve"> male stars across fields and </w:t>
      </w:r>
      <w:r w:rsidR="00FE298B">
        <w:lastRenderedPageBreak/>
        <w:t>time</w:t>
      </w:r>
      <w:r w:rsidR="00BA5C4F">
        <w:t>,</w:t>
      </w:r>
      <w:r w:rsidR="00FE298B">
        <w:t xml:space="preserve"> </w:t>
      </w:r>
      <w:r w:rsidR="00BA5C4F">
        <w:t>a</w:t>
      </w:r>
      <w:r w:rsidR="00FE298B">
        <w:t xml:space="preserve"> c</w:t>
      </w:r>
      <w:r w:rsidR="00F45BC7" w:rsidRPr="002E0C07">
        <w:t>omparison of the distribution of key covariates</w:t>
      </w:r>
      <w:r w:rsidR="00F5673D" w:rsidRPr="002E0C07">
        <w:t xml:space="preserve"> (</w:t>
      </w:r>
      <w:r w:rsidR="0058230A" w:rsidRPr="002E0C07">
        <w:t xml:space="preserve">see </w:t>
      </w:r>
      <w:r w:rsidR="00F5673D" w:rsidRPr="002E0C07">
        <w:t xml:space="preserve">Appendix </w:t>
      </w:r>
      <w:r w:rsidR="00F00409">
        <w:t>3</w:t>
      </w:r>
      <w:r w:rsidR="00F5673D" w:rsidRPr="002E0C07">
        <w:t>)</w:t>
      </w:r>
      <w:r w:rsidR="00F45BC7" w:rsidRPr="002E0C07">
        <w:t xml:space="preserve"> </w:t>
      </w:r>
      <w:r w:rsidR="0000232E">
        <w:t xml:space="preserve">suggests that there are other differences between the teams they work in. </w:t>
      </w:r>
      <w:r w:rsidRPr="00FE298B">
        <w:t>To account</w:t>
      </w:r>
      <w:r>
        <w:t xml:space="preserve"> for th</w:t>
      </w:r>
      <w:r w:rsidR="00C51193">
        <w:t>e</w:t>
      </w:r>
      <w:r w:rsidR="0000232E">
        <w:t>se differences and the</w:t>
      </w:r>
      <w:r>
        <w:t xml:space="preserve"> imbalance between male and female star inventors</w:t>
      </w:r>
      <w:r w:rsidR="00E31200">
        <w:t>,</w:t>
      </w:r>
      <w:r>
        <w:t xml:space="preserve"> we employ a matching approach</w:t>
      </w:r>
      <w:r w:rsidR="00D11D03">
        <w:t xml:space="preserve">. </w:t>
      </w:r>
    </w:p>
    <w:p w14:paraId="6171D7F3" w14:textId="16CB09AF" w:rsidR="003D48D6" w:rsidRDefault="00EE42C8" w:rsidP="005A2721">
      <w:r>
        <w:t>Using coarsened exact matching (CEM)</w:t>
      </w:r>
      <w:r w:rsidR="00AA5697">
        <w:t xml:space="preserve">, inventor teams </w:t>
      </w:r>
      <w:r w:rsidR="00F5673D">
        <w:t>with</w:t>
      </w:r>
      <w:r w:rsidR="00403031">
        <w:t xml:space="preserve"> a</w:t>
      </w:r>
      <w:r w:rsidR="00AA5697">
        <w:t xml:space="preserve"> female star are matched to inventor team</w:t>
      </w:r>
      <w:r w:rsidR="00E252C2">
        <w:t>s</w:t>
      </w:r>
      <w:r w:rsidR="00AA5697">
        <w:t xml:space="preserve"> </w:t>
      </w:r>
      <w:r w:rsidR="00F5673D">
        <w:t>with</w:t>
      </w:r>
      <w:r w:rsidR="00403031">
        <w:t xml:space="preserve"> a </w:t>
      </w:r>
      <w:r w:rsidR="00AA5697">
        <w:t>male star</w:t>
      </w:r>
      <w:r w:rsidR="00E31200">
        <w:t xml:space="preserve"> </w:t>
      </w:r>
      <w:r w:rsidR="00E31200">
        <w:fldChar w:fldCharType="begin" w:fldLock="1"/>
      </w:r>
      <w:r w:rsidR="00814EAA">
        <w:instrText>ADDIN CSL_CITATION {"citationItems":[{"id":"ITEM-1","itemData":{"DOI":"10.1198/jasa.2011.tm09599","ISSN":"01621459","abstract":"We introduce a new \"Monotonic Imbalance Bounding\" (MIB) class of matching methods for causal inference with a surprisingly large number of attractive statistical properties. MIB generalizes and extends in several new directions the only existing class, \"Equal Percent Bias Reducing\" (EPBR), which is designed to satisfy weaker properties and only in expectation. We also offer strategies to obtain specific members of the MIB class, and analyze in more detail a member of this class, called Coarsened Exact Matching, whose properties we analyze from this new perspective. We offer a variety of analytical results and numerical simulations that demonstrate how members of the MIB class can dramatically improve inferences relative to EPBR-based matching methods. © 2011 American Statistical Association.","author":[{"dropping-particle":"","family":"Iacus","given":"Stefano M.","non-dropping-particle":"","parse-names":false,"suffix":""},{"dropping-particle":"","family":"King","given":"Gary","non-dropping-particle":"","parse-names":false,"suffix":""},{"dropping-particle":"","family":"Porro","given":"Giuseppe","non-dropping-particle":"","parse-names":false,"suffix":""}],"container-title":"Journal of the American Statistical Association","id":"ITEM-1","issue":"493","issued":{"date-parts":[["2011"]]},"page":"345-361","title":"Multivariate matching methods that are monotonic imbalance bounding","type":"article-journal","volume":"106"},"uris":["http://www.mendeley.com/documents/?uuid=c37336bf-958d-4783-b52c-24bc442aac11"]},{"id":"ITEM-2","itemData":{"DOI":"10.1093/pan/mpr013","ISSN":"10471987","abstract":"We discuss a method for improving causal inferences called \"Coarsened Exact Matching\" (CEM), and the new \"Monotonic Imbalance Bounding\" (MIB) class of matching methods from which CEM is derived. We summarize what is known about CEM and MIB, derive and illustrate several new desirable statistical properties of CEM, and then propose a variety of useful extensions. We show that CEM possesses a wide range of statistical properties not available in most other matching methods but is at the same time exceptionally easy to comprehend and use. We focus on the connection between theoretical properties and practical applications. We also make available easy-to-use open source software for R, Stata, and SPSS that implement all our suggestions. © The Author 2011. Published by Oxford University Press on behalf of the Society for Political Methodology. All rights reserved.","author":[{"dropping-particle":"","family":"Iacus","given":"Stefano M.","non-dropping-particle":"","parse-names":false,"suffix":""},{"dropping-particle":"","family":"King","given":"Gary","non-dropping-particle":"","parse-names":false,"suffix":""},{"dropping-particle":"","family":"Porro","given":"Giuseppe","non-dropping-particle":"","parse-names":false,"suffix":""}],"container-title":"Political Analysis","id":"ITEM-2","issue":"1","issued":{"date-parts":[["2012"]]},"page":"1-24","title":"Causal inference without balance checking: Coarsened exact matching","type":"article-journal","volume":"20"},"uris":["http://www.mendeley.com/documents/?uuid=3e6b6df3-558e-4c29-a5f8-b60a6b4eb86d"]}],"mendeley":{"formattedCitation":"(Iacus, King, &amp; Porro, 2011, 2012)","plainTextFormattedCitation":"(Iacus, King, &amp; Porro, 2011, 2012)","previouslyFormattedCitation":"(Iacus, King, &amp; Porro, 2011, 2012)"},"properties":{"noteIndex":0},"schema":"https://github.com/citation-style-language/schema/raw/master/csl-citation.json"}</w:instrText>
      </w:r>
      <w:r w:rsidR="00E31200">
        <w:fldChar w:fldCharType="separate"/>
      </w:r>
      <w:r w:rsidR="00814EAA" w:rsidRPr="00814EAA">
        <w:rPr>
          <w:noProof/>
        </w:rPr>
        <w:t>(Iacus, King, &amp; Porro, 2011, 2012)</w:t>
      </w:r>
      <w:r w:rsidR="00E31200">
        <w:fldChar w:fldCharType="end"/>
      </w:r>
      <w:r w:rsidR="00AA5697">
        <w:t xml:space="preserve">. </w:t>
      </w:r>
      <w:r w:rsidR="005A7CF8">
        <w:t>The CEM</w:t>
      </w:r>
      <w:r w:rsidR="009E2C8C">
        <w:t xml:space="preserve"> </w:t>
      </w:r>
      <w:r w:rsidR="005A7CF8">
        <w:t>technique</w:t>
      </w:r>
      <w:r w:rsidR="00E252C2">
        <w:t xml:space="preserve"> ensures balance along a set of </w:t>
      </w:r>
      <w:r w:rsidR="002F0222">
        <w:t>covariates</w:t>
      </w:r>
      <w:r w:rsidR="00E252C2">
        <w:t xml:space="preserve"> between the treatment group, i.e.</w:t>
      </w:r>
      <w:r w:rsidR="00DC0D0A">
        <w:t>,</w:t>
      </w:r>
      <w:r w:rsidR="00E252C2">
        <w:t xml:space="preserve"> inventor teams with a female star, and the control group, i.e.</w:t>
      </w:r>
      <w:r w:rsidR="00DC0D0A">
        <w:t>,</w:t>
      </w:r>
      <w:r w:rsidR="00E252C2">
        <w:t xml:space="preserve"> inventor teams with a male star</w:t>
      </w:r>
      <w:r w:rsidR="000552D1" w:rsidRPr="00EE1D76">
        <w:rPr>
          <w:rStyle w:val="FootnoteReference"/>
        </w:rPr>
        <w:footnoteReference w:id="5"/>
      </w:r>
      <w:r w:rsidR="00E252C2">
        <w:t xml:space="preserve">. </w:t>
      </w:r>
      <w:r w:rsidR="00846510">
        <w:t>The CEM algorithm involves four steps</w:t>
      </w:r>
      <w:r w:rsidR="006F66AA">
        <w:t xml:space="preserve"> </w:t>
      </w:r>
      <w:r w:rsidR="006F66AA">
        <w:fldChar w:fldCharType="begin" w:fldLock="1"/>
      </w:r>
      <w:r w:rsidR="00814EAA">
        <w:instrText>ADDIN CSL_CITATION {"citationItems":[{"id":"ITEM-1","itemData":{"DOI":"10.1177/1536867x0900900402","ISSN":"1536867X","abstract":"In this article, we introduce a Stata implementation of coarsened exact matching, a new method for improving the estimation of causal effects by reducing imbalance in covariates between treated and control groups. Coarsened exact matching is faster, is easier to use and understand, requires fewer assumptions, is more easily automated, and possesses more attractive statistical properties for many applications than do existing matching methods. In coarsened exact matching, users temporarily coarsen their data, exact match on these coarsened data, and then run their analysis on the uncoarsened, matched data. Coarsened exact matching bounds the degree of model dependence and causal effect estimation error by ex ante user choice, is monotonic imbalance bounding (so that reducing the maximum imbalance on one variable has no effect on others), does not require a separate procedure to restrict data to common support, meets the congruence principle, is approximately invariant to measurement error, balances all nonlinearities and interactions in sample (i.e., not merely in expectation), and works with multiply imputed datasets. Other matching methods inherit many of the coarsened exact matching method's properties when applied to further match data preprocessed by coarsened exact matching. The cem command implements the coarsened exact matching algorithm in Stata. © 2009 StataCorp LP.","author":[{"dropping-particle":"","family":"Blackwell","given":"Matthew","non-dropping-particle":"","parse-names":false,"suffix":""},{"dropping-particle":"","family":"Iacus","given":"Stefano","non-dropping-particle":"","parse-names":false,"suffix":""},{"dropping-particle":"","family":"King","given":"Gary","non-dropping-particle":"","parse-names":false,"suffix":""},{"dropping-particle":"","family":"Porro","given":"Giuseppe","non-dropping-particle":"","parse-names":false,"suffix":""}],"container-title":"Stata Journal","id":"ITEM-1","issue":"4","issued":{"date-parts":[["2009"]]},"page":"524-546","title":"Cem: Coarsened exact matching in Stata","type":"article-journal","volume":"9"},"uris":["http://www.mendeley.com/documents/?uuid=f181a35c-2888-4531-9b7a-5ddb653e72c9"]}],"mendeley":{"formattedCitation":"(Blackwell, Iacus, King, &amp; Porro, 2009)","plainTextFormattedCitation":"(Blackwell, Iacus, King, &amp; Porro, 2009)","previouslyFormattedCitation":"(Blackwell, Iacus, King, &amp; Porro, 2009)"},"properties":{"noteIndex":0},"schema":"https://github.com/citation-style-language/schema/raw/master/csl-citation.json"}</w:instrText>
      </w:r>
      <w:r w:rsidR="006F66AA">
        <w:fldChar w:fldCharType="separate"/>
      </w:r>
      <w:r w:rsidR="00814EAA" w:rsidRPr="00814EAA">
        <w:rPr>
          <w:noProof/>
        </w:rPr>
        <w:t>(Blackwell, Iacus, King, &amp; Porro, 2009)</w:t>
      </w:r>
      <w:r w:rsidR="006F66AA">
        <w:fldChar w:fldCharType="end"/>
      </w:r>
      <w:r w:rsidR="00846510">
        <w:t>.</w:t>
      </w:r>
      <w:r w:rsidR="008F5156">
        <w:t xml:space="preserve"> </w:t>
      </w:r>
      <w:r w:rsidR="00846510">
        <w:t>First</w:t>
      </w:r>
      <w:r w:rsidR="005A7CF8">
        <w:t xml:space="preserve">, </w:t>
      </w:r>
      <w:r w:rsidR="00846510">
        <w:t xml:space="preserve">a set of covariates is </w:t>
      </w:r>
      <w:r w:rsidR="005A7CF8">
        <w:t>select</w:t>
      </w:r>
      <w:r w:rsidR="00846510">
        <w:t>ed</w:t>
      </w:r>
      <w:r w:rsidR="005A7CF8">
        <w:t xml:space="preserve"> and coarsen</w:t>
      </w:r>
      <w:r w:rsidR="00846510">
        <w:t>ed into meaningful categories.</w:t>
      </w:r>
      <w:r w:rsidR="005A7CF8">
        <w:t xml:space="preserve"> </w:t>
      </w:r>
      <w:r w:rsidR="00846510">
        <w:t xml:space="preserve">Next, </w:t>
      </w:r>
      <w:r w:rsidR="00A97FD2">
        <w:t>treated- and non-treated observations</w:t>
      </w:r>
      <w:r w:rsidR="00846510">
        <w:t xml:space="preserve"> are sorted into strata based on their values along the coarsened matching variables</w:t>
      </w:r>
      <w:r w:rsidR="00F8090C">
        <w:t>, or a</w:t>
      </w:r>
      <w:r w:rsidR="006350F1">
        <w:t xml:space="preserve">lternatively, </w:t>
      </w:r>
      <w:r w:rsidR="00F8090C">
        <w:t>on their</w:t>
      </w:r>
      <w:r w:rsidR="006350F1">
        <w:t xml:space="preserve"> exact </w:t>
      </w:r>
      <w:r w:rsidR="00F8090C">
        <w:t>original values (exact matching)</w:t>
      </w:r>
      <w:r w:rsidR="006350F1">
        <w:t xml:space="preserve">. </w:t>
      </w:r>
      <w:r w:rsidR="00846510">
        <w:t xml:space="preserve">Third, observations assigned to strata </w:t>
      </w:r>
      <w:r w:rsidR="008D6D53">
        <w:t>that do</w:t>
      </w:r>
      <w:r w:rsidR="00C52353">
        <w:t xml:space="preserve"> not</w:t>
      </w:r>
      <w:r w:rsidR="008D6D53">
        <w:t xml:space="preserve"> have</w:t>
      </w:r>
      <w:r w:rsidR="00846510">
        <w:t xml:space="preserve"> at least one treatment and one control observation are pruned. Lastly, weights are calculated and assigned to each</w:t>
      </w:r>
      <w:r w:rsidR="002E0C07">
        <w:t xml:space="preserve"> </w:t>
      </w:r>
      <w:r w:rsidR="001648B4">
        <w:t>observation</w:t>
      </w:r>
      <w:r w:rsidR="00846510">
        <w:t xml:space="preserve"> </w:t>
      </w:r>
      <w:r w:rsidR="00A97FD2">
        <w:t>to maintain balance within and across strata</w:t>
      </w:r>
      <w:r w:rsidR="00A97FD2" w:rsidRPr="00EE1D76">
        <w:rPr>
          <w:rStyle w:val="FootnoteReference"/>
        </w:rPr>
        <w:footnoteReference w:id="6"/>
      </w:r>
      <w:r w:rsidR="00A97FD2">
        <w:t xml:space="preserve">. </w:t>
      </w:r>
      <w:r w:rsidR="00C2770D">
        <w:t>These weights are used in all later analys</w:t>
      </w:r>
      <w:r w:rsidR="00B0352F">
        <w:t xml:space="preserve">es. </w:t>
      </w:r>
    </w:p>
    <w:p w14:paraId="0B2470E6" w14:textId="4B5C547E" w:rsidR="00AA5697" w:rsidRDefault="00756577" w:rsidP="005A2721">
      <w:r>
        <w:t xml:space="preserve">We match our data at the </w:t>
      </w:r>
      <w:r w:rsidR="006350F1">
        <w:t xml:space="preserve">team </w:t>
      </w:r>
      <w:r>
        <w:t>level</w:t>
      </w:r>
      <w:r w:rsidR="00C317CB">
        <w:t xml:space="preserve"> along </w:t>
      </w:r>
      <w:r w:rsidR="00F5025E">
        <w:t xml:space="preserve">the following </w:t>
      </w:r>
      <w:r w:rsidR="00F8090C">
        <w:t>variables</w:t>
      </w:r>
      <w:r w:rsidR="00F5025E">
        <w:t>:</w:t>
      </w:r>
      <w:r w:rsidR="00C317CB">
        <w:t xml:space="preserve"> </w:t>
      </w:r>
      <w:r w:rsidR="00C317CB" w:rsidRPr="00C317CB">
        <w:rPr>
          <w:i/>
        </w:rPr>
        <w:t>patent filing year</w:t>
      </w:r>
      <w:r w:rsidR="00C317CB">
        <w:t xml:space="preserve"> (21 </w:t>
      </w:r>
      <w:r w:rsidR="006350F1">
        <w:t>years</w:t>
      </w:r>
      <w:r w:rsidR="00C317CB">
        <w:t xml:space="preserve">), </w:t>
      </w:r>
      <w:r w:rsidR="00C317CB" w:rsidRPr="00C317CB">
        <w:rPr>
          <w:i/>
        </w:rPr>
        <w:t xml:space="preserve">patent </w:t>
      </w:r>
      <w:r w:rsidR="00192530">
        <w:rPr>
          <w:i/>
        </w:rPr>
        <w:t>WIPO</w:t>
      </w:r>
      <w:r w:rsidR="00C317CB" w:rsidRPr="00C317CB">
        <w:rPr>
          <w:i/>
        </w:rPr>
        <w:t xml:space="preserve"> field </w:t>
      </w:r>
      <w:r w:rsidR="00C317CB" w:rsidRPr="00C317CB">
        <w:t>(</w:t>
      </w:r>
      <w:r w:rsidR="00C317CB">
        <w:t>3</w:t>
      </w:r>
      <w:r w:rsidR="009E2C8C">
        <w:t>5</w:t>
      </w:r>
      <w:r w:rsidR="00C317CB">
        <w:t xml:space="preserve"> </w:t>
      </w:r>
      <w:r w:rsidR="006350F1">
        <w:t>fields</w:t>
      </w:r>
      <w:r w:rsidR="00C317CB">
        <w:t xml:space="preserve">), </w:t>
      </w:r>
      <w:r w:rsidR="00F5025E">
        <w:t xml:space="preserve">and </w:t>
      </w:r>
      <w:r w:rsidR="00C317CB" w:rsidRPr="00C317CB">
        <w:rPr>
          <w:i/>
        </w:rPr>
        <w:t xml:space="preserve">share of female inventors </w:t>
      </w:r>
      <w:r w:rsidR="00C317CB">
        <w:t>(</w:t>
      </w:r>
      <w:r w:rsidR="005136C9">
        <w:t>two</w:t>
      </w:r>
      <w:r w:rsidR="00C317CB">
        <w:t xml:space="preserve"> </w:t>
      </w:r>
      <w:r w:rsidR="006350F1">
        <w:t xml:space="preserve">categories: </w:t>
      </w:r>
      <w:r w:rsidR="002B233F">
        <w:t>share above or below the median in the same year and field</w:t>
      </w:r>
      <w:r w:rsidR="00C317CB">
        <w:t xml:space="preserve">). </w:t>
      </w:r>
      <w:r w:rsidR="00C72926">
        <w:t>By doing so</w:t>
      </w:r>
      <w:r w:rsidR="00406A9E">
        <w:t xml:space="preserve">, we obtain </w:t>
      </w:r>
      <w:r w:rsidR="003A3418">
        <w:t>26,793</w:t>
      </w:r>
      <w:r w:rsidR="00406A9E">
        <w:t xml:space="preserve"> matched patents</w:t>
      </w:r>
      <w:r w:rsidR="00F8090C">
        <w:t xml:space="preserve"> of which</w:t>
      </w:r>
      <w:r w:rsidR="00406A9E">
        <w:t xml:space="preserve"> </w:t>
      </w:r>
      <w:r w:rsidR="00E83066">
        <w:t>951</w:t>
      </w:r>
      <w:r w:rsidR="00406A9E">
        <w:t xml:space="preserve"> </w:t>
      </w:r>
      <w:r w:rsidR="0017038D">
        <w:t xml:space="preserve">(3.6%) </w:t>
      </w:r>
      <w:r w:rsidR="00406A9E">
        <w:t xml:space="preserve">were filed by inventor teams with a female star. As illustrated in Appendix </w:t>
      </w:r>
      <w:r w:rsidR="00946F03">
        <w:t>3</w:t>
      </w:r>
      <w:r w:rsidR="0058230A">
        <w:t>,</w:t>
      </w:r>
      <w:r w:rsidR="00406A9E">
        <w:t xml:space="preserve"> the matching technique </w:t>
      </w:r>
      <w:r w:rsidR="00AD5739">
        <w:t xml:space="preserve">not only </w:t>
      </w:r>
      <w:r w:rsidR="00406A9E">
        <w:t>yield</w:t>
      </w:r>
      <w:r w:rsidR="00344BA9">
        <w:t>s</w:t>
      </w:r>
      <w:r w:rsidR="00406A9E">
        <w:t xml:space="preserve"> balance on </w:t>
      </w:r>
      <w:r w:rsidR="00AD5739">
        <w:t>the</w:t>
      </w:r>
      <w:r w:rsidR="00406A9E">
        <w:t xml:space="preserve"> matching variables,</w:t>
      </w:r>
      <w:r w:rsidR="00AD5739">
        <w:t xml:space="preserve"> but also </w:t>
      </w:r>
      <w:r w:rsidR="00F8090C">
        <w:t xml:space="preserve">on </w:t>
      </w:r>
      <w:r w:rsidR="00AD5739">
        <w:t xml:space="preserve">other key covariates, including team size, team inventive performance, </w:t>
      </w:r>
      <w:r w:rsidR="00AD5739">
        <w:lastRenderedPageBreak/>
        <w:t>team patenting experience, extent of prior collaboration, technological team diversity, and regional team diversity</w:t>
      </w:r>
      <w:r w:rsidR="00075215">
        <w:rPr>
          <w:rStyle w:val="FootnoteReference"/>
        </w:rPr>
        <w:footnoteReference w:id="7"/>
      </w:r>
      <w:r w:rsidR="00AD5739">
        <w:t>.</w:t>
      </w:r>
      <w:r w:rsidR="00406A9E">
        <w:t xml:space="preserve"> </w:t>
      </w:r>
      <w:r w:rsidR="00AD5739">
        <w:t>N</w:t>
      </w:r>
      <w:r w:rsidR="00406A9E">
        <w:t>one of the means</w:t>
      </w:r>
      <w:r w:rsidR="00AD5739">
        <w:t xml:space="preserve"> of these variables</w:t>
      </w:r>
      <w:r w:rsidR="00406A9E">
        <w:t xml:space="preserve"> statistically differ between </w:t>
      </w:r>
      <w:r w:rsidR="00F8090C">
        <w:t xml:space="preserve">inventor teams with </w:t>
      </w:r>
      <w:r w:rsidR="00406A9E">
        <w:t>female star</w:t>
      </w:r>
      <w:r w:rsidR="00F8090C">
        <w:t>s</w:t>
      </w:r>
      <w:r w:rsidR="00406A9E">
        <w:t xml:space="preserve"> and male star</w:t>
      </w:r>
      <w:r w:rsidR="00F8090C">
        <w:t>s</w:t>
      </w:r>
      <w:r w:rsidR="00406A9E">
        <w:t xml:space="preserve"> after matching. </w:t>
      </w:r>
      <w:r w:rsidR="00C941A5">
        <w:t>To underline the comparability of teams with female and male stars, T</w:t>
      </w:r>
      <w:r w:rsidR="00406A9E">
        <w:t xml:space="preserve">able 1 </w:t>
      </w:r>
      <w:r w:rsidR="00344BA9">
        <w:t>presents</w:t>
      </w:r>
      <w:r w:rsidR="00441009">
        <w:t xml:space="preserve"> a </w:t>
      </w:r>
      <w:proofErr w:type="spellStart"/>
      <w:r w:rsidR="00E86403">
        <w:t>probit</w:t>
      </w:r>
      <w:proofErr w:type="spellEnd"/>
      <w:r w:rsidR="00E86403">
        <w:t xml:space="preserve"> </w:t>
      </w:r>
      <w:r w:rsidR="00441009">
        <w:t>model</w:t>
      </w:r>
      <w:r w:rsidR="005D4EBE">
        <w:t>,</w:t>
      </w:r>
      <w:r w:rsidR="00441009">
        <w:t xml:space="preserve"> </w:t>
      </w:r>
      <w:r w:rsidR="00A54101">
        <w:t>with</w:t>
      </w:r>
      <w:r w:rsidR="00441009">
        <w:t xml:space="preserve"> having a female star in the inventor team</w:t>
      </w:r>
      <w:r w:rsidR="001A6D88">
        <w:t xml:space="preserve"> </w:t>
      </w:r>
      <w:r w:rsidR="008C4094">
        <w:t>(</w:t>
      </w:r>
      <w:r w:rsidR="001A6D88">
        <w:t>i.e.</w:t>
      </w:r>
      <w:r w:rsidR="00F8090C">
        <w:t>,</w:t>
      </w:r>
      <w:r w:rsidR="001A6D88">
        <w:t xml:space="preserve"> being treated</w:t>
      </w:r>
      <w:r w:rsidR="008C4094">
        <w:t>)</w:t>
      </w:r>
      <w:r w:rsidR="001A6D88">
        <w:t xml:space="preserve"> as the dependent variable</w:t>
      </w:r>
      <w:r w:rsidR="005D4EBE">
        <w:t>,</w:t>
      </w:r>
      <w:r w:rsidR="001A6D88">
        <w:t xml:space="preserve"> and </w:t>
      </w:r>
      <w:r w:rsidR="002213D9">
        <w:t xml:space="preserve">team </w:t>
      </w:r>
      <w:r w:rsidR="006D2267">
        <w:t>characteristics</w:t>
      </w:r>
      <w:r w:rsidR="001A6D88">
        <w:t xml:space="preserve"> as independent variable</w:t>
      </w:r>
      <w:r w:rsidR="009E2C8C">
        <w:t>s</w:t>
      </w:r>
      <w:r w:rsidR="00441009">
        <w:t xml:space="preserve">. </w:t>
      </w:r>
      <w:r w:rsidR="003D48D6">
        <w:t xml:space="preserve">Before </w:t>
      </w:r>
      <w:r w:rsidR="00441009">
        <w:t>matching</w:t>
      </w:r>
      <w:r w:rsidR="005D4EBE">
        <w:t>, the</w:t>
      </w:r>
      <w:r w:rsidR="00441009">
        <w:t xml:space="preserve"> </w:t>
      </w:r>
      <w:r w:rsidR="00AD5739">
        <w:t>share of female inventors and regional team diversity</w:t>
      </w:r>
      <w:r w:rsidR="00441009">
        <w:t xml:space="preserve"> </w:t>
      </w:r>
      <w:r w:rsidR="000552D1">
        <w:t>are</w:t>
      </w:r>
      <w:r w:rsidR="00441009">
        <w:t xml:space="preserve"> </w:t>
      </w:r>
      <w:r w:rsidR="000552D1">
        <w:t>statistically significant</w:t>
      </w:r>
      <w:r w:rsidR="00441009">
        <w:t xml:space="preserve"> predictors of the treatment, </w:t>
      </w:r>
      <w:r w:rsidR="005D4EBE">
        <w:t xml:space="preserve">while </w:t>
      </w:r>
      <w:r w:rsidR="00441009">
        <w:t>none of the</w:t>
      </w:r>
      <w:r w:rsidR="00AD5739">
        <w:t xml:space="preserve"> variables</w:t>
      </w:r>
      <w:r w:rsidR="00441009">
        <w:t xml:space="preserve"> are </w:t>
      </w:r>
      <w:r w:rsidR="008C4094">
        <w:t xml:space="preserve">significant </w:t>
      </w:r>
      <w:r w:rsidR="003D48D6">
        <w:t xml:space="preserve">after </w:t>
      </w:r>
      <w:r w:rsidR="00441009">
        <w:t>matching.</w:t>
      </w:r>
      <w:r w:rsidR="000D31DC">
        <w:t xml:space="preserve"> </w:t>
      </w:r>
      <w:r w:rsidR="00441009">
        <w:t>We are</w:t>
      </w:r>
      <w:r w:rsidR="00A10120">
        <w:t>,</w:t>
      </w:r>
      <w:r w:rsidR="00441009">
        <w:t xml:space="preserve"> thus</w:t>
      </w:r>
      <w:r w:rsidR="00A10120">
        <w:t>,</w:t>
      </w:r>
      <w:r w:rsidR="00441009">
        <w:t xml:space="preserve"> confident that the sample of </w:t>
      </w:r>
      <w:r w:rsidR="00AD5739">
        <w:t>26,793</w:t>
      </w:r>
      <w:r w:rsidR="00441009">
        <w:t xml:space="preserve"> patent</w:t>
      </w:r>
      <w:r w:rsidR="001A6D88">
        <w:t>s</w:t>
      </w:r>
      <w:r w:rsidR="00441009">
        <w:t xml:space="preserve"> filed by </w:t>
      </w:r>
      <w:r w:rsidR="00AD5739">
        <w:t>5,017</w:t>
      </w:r>
      <w:r w:rsidR="00441009">
        <w:t xml:space="preserve"> different star inventors is balance</w:t>
      </w:r>
      <w:r w:rsidR="000552D1">
        <w:t>d</w:t>
      </w:r>
      <w:r w:rsidR="00441009">
        <w:t xml:space="preserve"> and allows for a thorough analysis of our hypothes</w:t>
      </w:r>
      <w:r w:rsidR="009F4673">
        <w:t>i</w:t>
      </w:r>
      <w:r w:rsidR="00441009">
        <w:t>s.</w:t>
      </w:r>
    </w:p>
    <w:tbl>
      <w:tblPr>
        <w:tblStyle w:val="TableGrid"/>
        <w:tblW w:w="0" w:type="auto"/>
        <w:jc w:val="center"/>
        <w:tblLook w:val="04A0" w:firstRow="1" w:lastRow="0" w:firstColumn="1" w:lastColumn="0" w:noHBand="0" w:noVBand="1"/>
      </w:tblPr>
      <w:tblGrid>
        <w:gridCol w:w="2835"/>
      </w:tblGrid>
      <w:tr w:rsidR="00406A9E" w:rsidRPr="00D750CA" w14:paraId="4E7800C0" w14:textId="77777777" w:rsidTr="005136C9">
        <w:trPr>
          <w:trHeight w:val="385"/>
          <w:jc w:val="center"/>
        </w:trPr>
        <w:tc>
          <w:tcPr>
            <w:tcW w:w="2835" w:type="dxa"/>
            <w:tcBorders>
              <w:top w:val="single" w:sz="4" w:space="0" w:color="auto"/>
              <w:left w:val="nil"/>
              <w:bottom w:val="single" w:sz="4" w:space="0" w:color="auto"/>
              <w:right w:val="nil"/>
            </w:tcBorders>
            <w:vAlign w:val="center"/>
          </w:tcPr>
          <w:p w14:paraId="32D5C875" w14:textId="3A7D554F" w:rsidR="00406A9E" w:rsidRPr="00D750CA" w:rsidRDefault="00406A9E" w:rsidP="005136C9">
            <w:pPr>
              <w:spacing w:line="240" w:lineRule="auto"/>
              <w:ind w:firstLine="0"/>
              <w:jc w:val="center"/>
            </w:pPr>
            <w:r w:rsidRPr="00D750CA">
              <w:t xml:space="preserve">Insert Table </w:t>
            </w:r>
            <w:r>
              <w:t>1</w:t>
            </w:r>
            <w:r w:rsidR="005A2721">
              <w:t xml:space="preserve"> </w:t>
            </w:r>
            <w:r w:rsidRPr="00D750CA">
              <w:t>about here</w:t>
            </w:r>
          </w:p>
        </w:tc>
      </w:tr>
    </w:tbl>
    <w:p w14:paraId="5E2AB1F6" w14:textId="3E166DE2" w:rsidR="00EA4056" w:rsidRDefault="005136C9" w:rsidP="00292634">
      <w:pPr>
        <w:pStyle w:val="Heading2"/>
        <w:spacing w:before="360"/>
      </w:pPr>
      <w:r>
        <w:t>M</w:t>
      </w:r>
      <w:r w:rsidR="004240F2" w:rsidRPr="00D750CA">
        <w:t>easures</w:t>
      </w:r>
    </w:p>
    <w:p w14:paraId="26FA1571" w14:textId="28FE9C33" w:rsidR="00654F8E" w:rsidRDefault="00EA4056" w:rsidP="005A2721">
      <w:r>
        <w:rPr>
          <w:b/>
        </w:rPr>
        <w:tab/>
      </w:r>
      <w:r w:rsidR="00B350C2" w:rsidRPr="00AB3D19">
        <w:rPr>
          <w:b/>
          <w:i/>
        </w:rPr>
        <w:t>Dependent variable</w:t>
      </w:r>
      <w:r w:rsidR="00B350C2" w:rsidRPr="00215399">
        <w:rPr>
          <w:i/>
        </w:rPr>
        <w:t xml:space="preserve">. </w:t>
      </w:r>
      <w:r w:rsidR="00654F8E">
        <w:t xml:space="preserve">The dependent variable in our analysis is </w:t>
      </w:r>
      <w:r w:rsidR="00654F8E">
        <w:rPr>
          <w:i/>
        </w:rPr>
        <w:t>knowledge recombination breadth</w:t>
      </w:r>
      <w:r w:rsidR="00654F8E">
        <w:t>. We operationalize</w:t>
      </w:r>
      <w:r w:rsidR="00C319C7">
        <w:t xml:space="preserve"> this variable </w:t>
      </w:r>
      <w:r w:rsidR="00654F8E">
        <w:t>as per</w:t>
      </w:r>
      <w:r w:rsidR="007968CD">
        <w:t xml:space="preserve"> </w:t>
      </w:r>
      <w:r w:rsidR="007968CD">
        <w:fldChar w:fldCharType="begin" w:fldLock="1"/>
      </w:r>
      <w:r w:rsidR="00814EAA">
        <w:instrText>ADDIN CSL_CITATION {"citationItems":[{"id":"ITEM-1","itemData":{"DOI":"10.1287/mnsc.1120.1572","ISSN":"00251909","abstract":"Building on the seminal work of Thomas J. Allen, we contribute to the emerging microlevel theory of knowledge recombination by examining how individual-level characteristics of inventors affect the breadth of their technological recombinations. Our data set combines information from 30,550 European patents with matched survey data obtained from 1,880 inventors. The analysis supports the view that inventors with a scientific education are more likely to generate patents that span technological boundaries (in our case, 30 broad, toplevel technological domains) than inventors with an engineering degree. A doctoral degree is associated with increased recombination breadth for all groups of inventors. The breadth of an inventor's technological recombinations diminishes with increasing temporal distance to his education, but the differences between scientists and engineers persist over time. Our findings provide several new insights for research on inventors, the literature on organizational learning and innovation, and strategy research. © 2013 INFORMS.","author":[{"dropping-particle":"","family":"Gruber","given":"Marc","non-dropping-particle":"","parse-names":false,"suffix":""},{"dropping-particle":"","family":"Harhoff","given":"Dietmar","non-dropping-particle":"","parse-names":false,"suffix":""},{"dropping-particle":"","family":"Hoisl","given":"Karin","non-dropping-particle":"","parse-names":false,"suffix":""}],"container-title":"Management Science","id":"ITEM-1","issue":"4","issued":{"date-parts":[["2013","4"]]},"page":"837-851","title":"Knowledge recombination across technological boundaries: Scientists vs. engineers","type":"article-journal","volume":"59"},"uris":["http://www.mendeley.com/documents/?uuid=8e6c08dc-cb34-3fcb-bd16-219229187839"]}],"mendeley":{"formattedCitation":"(Gruber et al., 2013)","manualFormatting":"Gruber et al. (2013)","plainTextFormattedCitation":"(Gruber et al., 2013)","previouslyFormattedCitation":"(Gruber et al., 2013)"},"properties":{"noteIndex":0},"schema":"https://github.com/citation-style-language/schema/raw/master/csl-citation.json"}</w:instrText>
      </w:r>
      <w:r w:rsidR="007968CD">
        <w:fldChar w:fldCharType="separate"/>
      </w:r>
      <w:r w:rsidR="007968CD" w:rsidRPr="007968CD">
        <w:rPr>
          <w:noProof/>
        </w:rPr>
        <w:t xml:space="preserve">Gruber et al. </w:t>
      </w:r>
      <w:r w:rsidR="007968CD">
        <w:rPr>
          <w:noProof/>
        </w:rPr>
        <w:t>(</w:t>
      </w:r>
      <w:r w:rsidR="007968CD" w:rsidRPr="007968CD">
        <w:rPr>
          <w:noProof/>
        </w:rPr>
        <w:t>2013)</w:t>
      </w:r>
      <w:r w:rsidR="007968CD">
        <w:fldChar w:fldCharType="end"/>
      </w:r>
      <w:r w:rsidR="00654F8E">
        <w:t>. The</w:t>
      </w:r>
      <w:r w:rsidR="00701703">
        <w:t xml:space="preserve"> </w:t>
      </w:r>
      <w:r w:rsidR="00654F8E">
        <w:t xml:space="preserve">measure </w:t>
      </w:r>
      <w:r w:rsidR="00AB3D19">
        <w:t>is a</w:t>
      </w:r>
      <w:r w:rsidR="001A6D88">
        <w:t>n ad</w:t>
      </w:r>
      <w:r w:rsidR="00FA28E2">
        <w:t>a</w:t>
      </w:r>
      <w:r w:rsidR="001A6D88">
        <w:t>pted</w:t>
      </w:r>
      <w:r w:rsidR="00AB3D19">
        <w:t xml:space="preserve"> Herfindahl index, which </w:t>
      </w:r>
      <w:r w:rsidR="00654F8E">
        <w:t xml:space="preserve">captures the distribution of a focal patent’s backward citations across </w:t>
      </w:r>
      <w:r w:rsidR="00DB6D53">
        <w:t xml:space="preserve">different </w:t>
      </w:r>
      <w:r w:rsidR="00654F8E">
        <w:t xml:space="preserve">technological </w:t>
      </w:r>
      <w:r w:rsidR="005843B1">
        <w:t>domains</w:t>
      </w:r>
      <w:r w:rsidR="00654F8E">
        <w:t>. Technolo</w:t>
      </w:r>
      <w:r w:rsidR="005843B1">
        <w:t>gical</w:t>
      </w:r>
      <w:r w:rsidR="00654F8E">
        <w:t xml:space="preserve"> domains are represented by four-digit International Patent Classification (IPC) </w:t>
      </w:r>
      <w:r w:rsidR="005843B1">
        <w:t>s</w:t>
      </w:r>
      <w:r w:rsidR="00DB6D53">
        <w:t xml:space="preserve">ubclasses. The IPC system emerged as a result of the Strasbourg Agreement in 1971 and </w:t>
      </w:r>
      <w:r w:rsidR="00DB6D53" w:rsidRPr="00D750CA">
        <w:t xml:space="preserve">helps patent authorities around the globe to group patents in technology classes and retrieve prior art when examining patent </w:t>
      </w:r>
      <w:r w:rsidR="00DB6D53" w:rsidRPr="00966882">
        <w:t>applications</w:t>
      </w:r>
      <w:r w:rsidR="00DB6D53" w:rsidRPr="00EE1D76">
        <w:rPr>
          <w:rStyle w:val="FootnoteReference"/>
        </w:rPr>
        <w:footnoteReference w:id="8"/>
      </w:r>
      <w:r w:rsidR="00DB6D53" w:rsidRPr="00966882">
        <w:t>.</w:t>
      </w:r>
      <w:r w:rsidR="00DB6D53">
        <w:t xml:space="preserve"> </w:t>
      </w:r>
      <w:r w:rsidR="00701703">
        <w:t xml:space="preserve">A patent filed at the USPTO cites </w:t>
      </w:r>
      <m:oMath>
        <m:r>
          <w:rPr>
            <w:rFonts w:ascii="Cambria Math" w:hAnsi="Cambria Math"/>
          </w:rPr>
          <m:t>J</m:t>
        </m:r>
      </m:oMath>
      <w:r w:rsidR="00701703">
        <w:t xml:space="preserve"> prior patents. The referenced patents are assigned to </w:t>
      </w:r>
      <m:oMath>
        <m:r>
          <w:rPr>
            <w:rFonts w:ascii="Cambria Math" w:hAnsi="Cambria Math"/>
          </w:rPr>
          <m:t>K</m:t>
        </m:r>
      </m:oMath>
      <w:r w:rsidR="00701703">
        <w:rPr>
          <w:i/>
        </w:rPr>
        <w:t xml:space="preserve"> </w:t>
      </w:r>
      <w:r w:rsidR="00701703" w:rsidRPr="00701703">
        <w:t>different</w:t>
      </w:r>
      <w:r w:rsidR="00701703">
        <w:rPr>
          <w:i/>
        </w:rPr>
        <w:t xml:space="preserve"> </w:t>
      </w:r>
      <w:r w:rsidR="00701703">
        <w:t xml:space="preserve">technological domains (IPC subclasses). The share of a specific </w:t>
      </w:r>
      <w:r w:rsidR="00701703">
        <w:lastRenderedPageBreak/>
        <w:t>technology domain in one referenced patent is captured in</w:t>
      </w:r>
      <m:oMath>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jk</m:t>
            </m:r>
          </m:sub>
        </m:sSub>
      </m:oMath>
      <w:r w:rsidR="00701703">
        <w:t xml:space="preserve">. The cumulative number of references to technological domains by all cited patents is captured in </w:t>
      </w:r>
      <m:oMath>
        <m:r>
          <w:rPr>
            <w:rFonts w:ascii="Cambria Math" w:hAnsi="Cambria Math"/>
          </w:rPr>
          <m:t>S</m:t>
        </m:r>
      </m:oMath>
      <w:r w:rsidR="00701703">
        <w:t xml:space="preserve">. </w:t>
      </w:r>
      <w:r w:rsidR="00AB3D19">
        <w:t>Based on these parameters</w:t>
      </w:r>
      <w:r w:rsidR="00C109D8">
        <w:t>,</w:t>
      </w:r>
      <w:r w:rsidR="00AB3D19">
        <w:t xml:space="preserve"> </w:t>
      </w:r>
      <w:r w:rsidR="00AB3D19" w:rsidRPr="001137E5">
        <w:rPr>
          <w:i/>
        </w:rPr>
        <w:t>knowledge recombination breadth</w:t>
      </w:r>
      <w:r w:rsidR="00AB3D19">
        <w:t xml:space="preserve"> is calculated as follows:</w:t>
      </w:r>
    </w:p>
    <w:p w14:paraId="6315592E" w14:textId="77777777" w:rsidR="00DB6D53" w:rsidRPr="001137E5" w:rsidRDefault="00E47FD7" w:rsidP="005A2721">
      <m:oMathPara>
        <m:oMath>
          <m:sSub>
            <m:sSubPr>
              <m:ctrlPr>
                <w:rPr>
                  <w:rFonts w:ascii="Cambria Math" w:hAnsi="Cambria Math"/>
                </w:rPr>
              </m:ctrlPr>
            </m:sSubPr>
            <m:e>
              <m:acc>
                <m:accPr>
                  <m:chr m:val="̅"/>
                  <m:ctrlPr>
                    <w:rPr>
                      <w:rFonts w:ascii="Cambria Math" w:hAnsi="Cambria Math"/>
                    </w:rPr>
                  </m:ctrlPr>
                </m:accPr>
                <m:e>
                  <m:r>
                    <w:rPr>
                      <w:rFonts w:ascii="Cambria Math" w:hAnsi="Cambria Math"/>
                    </w:rPr>
                    <m:t>B</m:t>
                  </m:r>
                </m:e>
              </m:acc>
            </m:e>
            <m:sub>
              <m:r>
                <w:rPr>
                  <w:rFonts w:ascii="Cambria Math" w:hAnsi="Cambria Math"/>
                </w:rPr>
                <m:t>JK</m:t>
              </m:r>
            </m:sub>
          </m:sSub>
          <m:r>
            <m:rPr>
              <m:sty m:val="p"/>
            </m:rPr>
            <w:rPr>
              <w:rFonts w:ascii="Cambria Math" w:hAnsi="Cambria Math"/>
            </w:rPr>
            <m:t xml:space="preserve">=1- </m:t>
          </m:r>
          <m:nary>
            <m:naryPr>
              <m:chr m:val="∑"/>
              <m:limLoc m:val="undOvr"/>
              <m:ctrlPr>
                <w:rPr>
                  <w:rFonts w:ascii="Cambria Math" w:hAnsi="Cambria Math"/>
                </w:rPr>
              </m:ctrlPr>
            </m:naryPr>
            <m:sub>
              <m:r>
                <w:rPr>
                  <w:rFonts w:ascii="Cambria Math" w:hAnsi="Cambria Math"/>
                </w:rPr>
                <m:t>k</m:t>
              </m:r>
              <m:r>
                <m:rPr>
                  <m:sty m:val="p"/>
                </m:rPr>
                <w:rPr>
                  <w:rFonts w:ascii="Cambria Math" w:hAnsi="Cambria Math"/>
                </w:rPr>
                <m:t>=1</m:t>
              </m:r>
            </m:sub>
            <m:sup>
              <m:r>
                <w:rPr>
                  <w:rFonts w:ascii="Cambria Math" w:hAnsi="Cambria Math"/>
                </w:rPr>
                <m:t>K</m:t>
              </m:r>
            </m:sup>
            <m:e>
              <m:sSup>
                <m:sSupPr>
                  <m:ctrlPr>
                    <w:rPr>
                      <w:rFonts w:ascii="Cambria Math" w:hAnsi="Cambria Math"/>
                    </w:rPr>
                  </m:ctrlPr>
                </m:sSupPr>
                <m:e>
                  <m:d>
                    <m:dPr>
                      <m:ctrlPr>
                        <w:rPr>
                          <w:rFonts w:ascii="Cambria Math" w:hAnsi="Cambria Math"/>
                        </w:rPr>
                      </m:ctrlPr>
                    </m:dPr>
                    <m:e>
                      <m:f>
                        <m:fPr>
                          <m:ctrlPr>
                            <w:rPr>
                              <w:rFonts w:ascii="Cambria Math" w:hAnsi="Cambria Math"/>
                            </w:rPr>
                          </m:ctrlPr>
                        </m:fPr>
                        <m:num>
                          <m:nary>
                            <m:naryPr>
                              <m:chr m:val="∑"/>
                              <m:limLoc m:val="undOvr"/>
                              <m:ctrlPr>
                                <w:rPr>
                                  <w:rFonts w:ascii="Cambria Math" w:hAnsi="Cambria Math"/>
                                </w:rPr>
                              </m:ctrlPr>
                            </m:naryPr>
                            <m:sub>
                              <m:r>
                                <w:rPr>
                                  <w:rFonts w:ascii="Cambria Math" w:hAnsi="Cambria Math"/>
                                </w:rPr>
                                <m:t>j</m:t>
                              </m:r>
                              <m:r>
                                <m:rPr>
                                  <m:sty m:val="p"/>
                                </m:rPr>
                                <w:rPr>
                                  <w:rFonts w:ascii="Cambria Math" w:hAnsi="Cambria Math"/>
                                </w:rPr>
                                <m:t>=1</m:t>
                              </m:r>
                            </m:sub>
                            <m:sup>
                              <m:r>
                                <w:rPr>
                                  <w:rFonts w:ascii="Cambria Math" w:hAnsi="Cambria Math"/>
                                </w:rPr>
                                <m:t>J</m:t>
                              </m:r>
                            </m:sup>
                            <m:e>
                              <m:sSub>
                                <m:sSubPr>
                                  <m:ctrlPr>
                                    <w:rPr>
                                      <w:rFonts w:ascii="Cambria Math" w:hAnsi="Cambria Math"/>
                                    </w:rPr>
                                  </m:ctrlPr>
                                </m:sSubPr>
                                <m:e>
                                  <m:r>
                                    <w:rPr>
                                      <w:rFonts w:ascii="Cambria Math" w:hAnsi="Cambria Math"/>
                                    </w:rPr>
                                    <m:t>s</m:t>
                                  </m:r>
                                </m:e>
                                <m:sub>
                                  <m:r>
                                    <w:rPr>
                                      <w:rFonts w:ascii="Cambria Math" w:hAnsi="Cambria Math"/>
                                    </w:rPr>
                                    <m:t>jk</m:t>
                                  </m:r>
                                </m:sub>
                              </m:sSub>
                            </m:e>
                          </m:nary>
                        </m:num>
                        <m:den>
                          <m:r>
                            <w:rPr>
                              <w:rFonts w:ascii="Cambria Math" w:hAnsi="Cambria Math"/>
                            </w:rPr>
                            <m:t>S</m:t>
                          </m:r>
                        </m:den>
                      </m:f>
                    </m:e>
                  </m:d>
                </m:e>
                <m:sup>
                  <m:r>
                    <m:rPr>
                      <m:sty m:val="p"/>
                    </m:rPr>
                    <w:rPr>
                      <w:rFonts w:ascii="Cambria Math" w:hAnsi="Cambria Math"/>
                    </w:rPr>
                    <m:t>2</m:t>
                  </m:r>
                </m:sup>
              </m:sSup>
            </m:e>
          </m:nary>
        </m:oMath>
      </m:oMathPara>
    </w:p>
    <w:p w14:paraId="5697C745" w14:textId="204C1906" w:rsidR="00A84A59" w:rsidRDefault="0045309F" w:rsidP="00E60C1A">
      <w:r w:rsidRPr="005136C9">
        <w:t>K</w:t>
      </w:r>
      <w:r w:rsidR="00A84A59" w:rsidRPr="005136C9">
        <w:t>nowledge recombination breadth</w:t>
      </w:r>
      <w:r w:rsidR="00A84A59">
        <w:t xml:space="preserve"> </w:t>
      </w:r>
      <w:r w:rsidR="001137E5" w:rsidRPr="001137E5">
        <w:t>is bou</w:t>
      </w:r>
      <w:r w:rsidR="001137E5">
        <w:t xml:space="preserve">nd between </w:t>
      </w:r>
      <w:r>
        <w:t>one</w:t>
      </w:r>
      <w:r w:rsidR="001137E5">
        <w:t xml:space="preserve"> and </w:t>
      </w:r>
      <w:r>
        <w:t>zero</w:t>
      </w:r>
      <w:r w:rsidR="001137E5">
        <w:t xml:space="preserve"> and increases when a patent references </w:t>
      </w:r>
      <w:r w:rsidR="00BA7F76">
        <w:t>a larger number of</w:t>
      </w:r>
      <w:r w:rsidR="001137E5">
        <w:t xml:space="preserve"> distinct </w:t>
      </w:r>
      <w:r>
        <w:t xml:space="preserve">technological </w:t>
      </w:r>
      <w:r w:rsidR="00BA7F76">
        <w:t>domains</w:t>
      </w:r>
      <w:r>
        <w:t xml:space="preserve">. It decreases when it references the same technological </w:t>
      </w:r>
      <w:r w:rsidR="00BA7F76">
        <w:t xml:space="preserve">domain </w:t>
      </w:r>
      <w:r>
        <w:t>multiple times</w:t>
      </w:r>
      <w:r w:rsidR="00C109D8">
        <w:t xml:space="preserve"> </w:t>
      </w:r>
      <w:r w:rsidR="006643F4">
        <w:fldChar w:fldCharType="begin" w:fldLock="1"/>
      </w:r>
      <w:r w:rsidR="00814EAA">
        <w:instrText>ADDIN CSL_CITATION {"citationItems":[{"id":"ITEM-1","itemData":{"DOI":"10.1287/orsc.2016.1106","ISSN":"15265455","abstract":"Theories of innovation and technical change posit that inventions that combine knowledge across technology domains have greater impact than inventions drawn from a single domain. The evidence for this claim comes mostly from research on patented inventions and ignores failed patent applications. We draw on insights from research into institutional gatekeeping to theorize that, to be granted, patent applications that span technological domains must have higher quality than otherwise comparable, narrower applications. Using data on failed and successful patent applications, we estimate an integrated, two-stage model that accounts for this differential selection. We find that more domain-spanning patent applications are less likely to be approved, and that controlling for this differential selection reduces the estimated effect of knowledge recombination on innovative impact by about one-third. By conceptualizing the patent-approval process as a form of institutional gatekeeping, this paper highlights the institutional underpinnings of and constraints on the innovation process.","author":[{"dropping-particle":"","family":"Ferguson","given":"John Paul","non-dropping-particle":"","parse-names":false,"suffix":""},{"dropping-particle":"","family":"Carnabuci","given":"Gianluca","non-dropping-particle":"","parse-names":false,"suffix":""}],"container-title":"Organization Science","id":"ITEM-1","issue":"1","issued":{"date-parts":[["2017"]]},"page":"133-151","title":"Risky recombinations: Institutional gatekeeping in the innovation process","type":"article-journal","volume":"28"},"uris":["http://www.mendeley.com/documents/?uuid=f2e488f4-c5f1-4091-8f79-1beb6975ff7c"]}],"mendeley":{"formattedCitation":"(Ferguson &amp; Carnabuci, 2017)","plainTextFormattedCitation":"(Ferguson &amp; Carnabuci, 2017)","previouslyFormattedCitation":"(Ferguson &amp; Carnabuci, 2017)"},"properties":{"noteIndex":0},"schema":"https://github.com/citation-style-language/schema/raw/master/csl-citation.json"}</w:instrText>
      </w:r>
      <w:r w:rsidR="006643F4">
        <w:fldChar w:fldCharType="separate"/>
      </w:r>
      <w:r w:rsidR="00814EAA" w:rsidRPr="00814EAA">
        <w:rPr>
          <w:noProof/>
        </w:rPr>
        <w:t>(Ferguson &amp; Carnabuci, 2017)</w:t>
      </w:r>
      <w:r w:rsidR="006643F4">
        <w:fldChar w:fldCharType="end"/>
      </w:r>
      <w:r w:rsidR="006643F4">
        <w:t>.</w:t>
      </w:r>
      <w:r w:rsidR="001137E5">
        <w:t xml:space="preserve"> </w:t>
      </w:r>
      <w:r w:rsidR="00A84A59">
        <w:t xml:space="preserve">A distribution of the variable is depicted in the histogram in Figure 2. </w:t>
      </w:r>
      <w:r w:rsidR="00237B2B">
        <w:t>The average knowledge recombination breadth in our sample is 0.8</w:t>
      </w:r>
      <w:r w:rsidR="00F71081">
        <w:t>67</w:t>
      </w:r>
      <w:r w:rsidR="006945A1">
        <w:t>,</w:t>
      </w:r>
      <w:r>
        <w:t xml:space="preserve"> </w:t>
      </w:r>
      <w:r w:rsidR="00237B2B">
        <w:t>with a standard deviation of 0.</w:t>
      </w:r>
      <w:r w:rsidR="00F71081">
        <w:t>195</w:t>
      </w:r>
      <w:r w:rsidR="00237B2B">
        <w:t xml:space="preserve">. </w:t>
      </w:r>
      <w:r w:rsidR="00C94C70">
        <w:t xml:space="preserve">Many patents </w:t>
      </w:r>
      <w:r w:rsidR="00B95453">
        <w:t>report</w:t>
      </w:r>
      <w:r w:rsidR="00874C82">
        <w:t xml:space="preserve"> a knowledge recombination breadth of zero because they only reference patents from one technological domain. Running our analyses on a subsample where these patents are excluded do</w:t>
      </w:r>
      <w:r w:rsidR="000A2977">
        <w:t>es</w:t>
      </w:r>
      <w:r w:rsidR="00874C82">
        <w:t xml:space="preserve"> not change our results. </w:t>
      </w:r>
    </w:p>
    <w:tbl>
      <w:tblPr>
        <w:tblStyle w:val="TableGrid"/>
        <w:tblW w:w="0" w:type="auto"/>
        <w:jc w:val="center"/>
        <w:tblLook w:val="04A0" w:firstRow="1" w:lastRow="0" w:firstColumn="1" w:lastColumn="0" w:noHBand="0" w:noVBand="1"/>
      </w:tblPr>
      <w:tblGrid>
        <w:gridCol w:w="2835"/>
      </w:tblGrid>
      <w:tr w:rsidR="00A84A59" w:rsidRPr="00D750CA" w14:paraId="6ACEE28D" w14:textId="77777777" w:rsidTr="0054501E">
        <w:trPr>
          <w:trHeight w:val="385"/>
          <w:jc w:val="center"/>
        </w:trPr>
        <w:tc>
          <w:tcPr>
            <w:tcW w:w="2835" w:type="dxa"/>
            <w:tcBorders>
              <w:top w:val="single" w:sz="4" w:space="0" w:color="auto"/>
              <w:left w:val="nil"/>
              <w:bottom w:val="single" w:sz="4" w:space="0" w:color="auto"/>
              <w:right w:val="nil"/>
            </w:tcBorders>
            <w:vAlign w:val="center"/>
          </w:tcPr>
          <w:p w14:paraId="17C48FD7" w14:textId="77777777" w:rsidR="00A84A59" w:rsidRPr="00D750CA" w:rsidRDefault="00A84A59" w:rsidP="005A2721">
            <w:pPr>
              <w:spacing w:line="240" w:lineRule="auto"/>
              <w:ind w:firstLine="0"/>
            </w:pPr>
            <w:r w:rsidRPr="00D750CA">
              <w:t xml:space="preserve">Insert </w:t>
            </w:r>
            <w:r>
              <w:t>Figure</w:t>
            </w:r>
            <w:r w:rsidRPr="00D750CA">
              <w:t xml:space="preserve"> </w:t>
            </w:r>
            <w:r>
              <w:t>2</w:t>
            </w:r>
            <w:r w:rsidRPr="00D750CA">
              <w:t xml:space="preserve"> about here</w:t>
            </w:r>
          </w:p>
        </w:tc>
      </w:tr>
    </w:tbl>
    <w:p w14:paraId="29BA7721" w14:textId="2D259E20" w:rsidR="004240F2" w:rsidRDefault="004240F2" w:rsidP="00E60C1A">
      <w:pPr>
        <w:spacing w:before="360"/>
      </w:pPr>
      <w:r w:rsidRPr="00D750CA">
        <w:rPr>
          <w:b/>
          <w:i/>
        </w:rPr>
        <w:t xml:space="preserve">Independent variable. </w:t>
      </w:r>
      <w:r w:rsidRPr="00D750CA">
        <w:t>Our main independent variable is</w:t>
      </w:r>
      <w:r w:rsidR="00DD08D0">
        <w:t xml:space="preserve"> an indicator</w:t>
      </w:r>
      <w:r w:rsidRPr="00D750CA">
        <w:t xml:space="preserve"> </w:t>
      </w:r>
      <w:r w:rsidR="00DD08D0">
        <w:t xml:space="preserve">for </w:t>
      </w:r>
      <w:r w:rsidR="00DD08D0" w:rsidRPr="00DD08D0">
        <w:rPr>
          <w:i/>
        </w:rPr>
        <w:t>female star inventor</w:t>
      </w:r>
      <w:r w:rsidRPr="00D750CA">
        <w:t xml:space="preserve">. </w:t>
      </w:r>
      <w:r w:rsidR="00DD08D0">
        <w:t xml:space="preserve">The variable </w:t>
      </w:r>
      <w:r w:rsidR="00F84ADB">
        <w:t>takes the value of</w:t>
      </w:r>
      <w:r w:rsidR="00DD08D0">
        <w:t xml:space="preserve"> one when a patent was filed by an inventor team with a female star and </w:t>
      </w:r>
      <w:r w:rsidR="00F84ADB">
        <w:t>zero</w:t>
      </w:r>
      <w:r w:rsidR="00DD08D0">
        <w:t xml:space="preserve"> </w:t>
      </w:r>
      <w:r w:rsidR="00F84ADB">
        <w:t>when</w:t>
      </w:r>
      <w:r w:rsidR="00DD08D0">
        <w:t xml:space="preserve"> it was filed by a</w:t>
      </w:r>
      <w:r w:rsidR="00610392">
        <w:t>n inventor</w:t>
      </w:r>
      <w:r w:rsidR="00DD08D0">
        <w:t xml:space="preserve"> team with a male star. As we excluded patents with multiple stars and patents without any gender</w:t>
      </w:r>
      <w:r w:rsidR="00F84ADB">
        <w:t>-</w:t>
      </w:r>
      <w:r w:rsidR="00DD08D0">
        <w:t xml:space="preserve">designated star, these categories are mutually exclusive. </w:t>
      </w:r>
      <w:r w:rsidR="00A4673C">
        <w:t xml:space="preserve">In our </w:t>
      </w:r>
      <w:r w:rsidR="00F71081">
        <w:t xml:space="preserve">matched </w:t>
      </w:r>
      <w:r w:rsidR="00A4673C">
        <w:t xml:space="preserve">sample, approximately </w:t>
      </w:r>
      <w:r w:rsidR="00F71081">
        <w:t>3.6%</w:t>
      </w:r>
      <w:r w:rsidR="00F8326A">
        <w:t xml:space="preserve"> </w:t>
      </w:r>
      <w:r w:rsidR="00A4673C">
        <w:t xml:space="preserve">percent of the patents were filed by inventor teams with a female star. </w:t>
      </w:r>
    </w:p>
    <w:p w14:paraId="7178F9C9" w14:textId="0F48EEA3" w:rsidR="007873F2" w:rsidRDefault="004240F2" w:rsidP="005A2721">
      <w:r w:rsidRPr="00D750CA">
        <w:rPr>
          <w:b/>
          <w:i/>
        </w:rPr>
        <w:t xml:space="preserve">Control variables. </w:t>
      </w:r>
      <w:r w:rsidR="008B3BE5">
        <w:t>Several</w:t>
      </w:r>
      <w:r w:rsidRPr="00D750CA">
        <w:t xml:space="preserve"> controls </w:t>
      </w:r>
      <w:r w:rsidR="008B3BE5" w:rsidRPr="00D750CA">
        <w:t xml:space="preserve">are applied at the </w:t>
      </w:r>
      <w:r w:rsidR="008B3BE5">
        <w:t>t</w:t>
      </w:r>
      <w:r w:rsidR="008B3BE5" w:rsidRPr="00D750CA">
        <w:t>eam</w:t>
      </w:r>
      <w:r w:rsidR="008B3BE5">
        <w:t xml:space="preserve">, star, and patent </w:t>
      </w:r>
      <w:r w:rsidR="008B3BE5" w:rsidRPr="00D750CA">
        <w:t xml:space="preserve">level </w:t>
      </w:r>
      <w:r w:rsidRPr="00D750CA">
        <w:t xml:space="preserve">that are likely to influence </w:t>
      </w:r>
      <w:r w:rsidR="00965EFA">
        <w:t>knowledge recombination breadth.</w:t>
      </w:r>
      <w:r w:rsidRPr="00D750CA">
        <w:t xml:space="preserve"> </w:t>
      </w:r>
    </w:p>
    <w:p w14:paraId="5D29647B" w14:textId="42260DAB" w:rsidR="003A5E30" w:rsidRDefault="00B6564D" w:rsidP="00E60C1A">
      <w:r w:rsidRPr="00B6564D">
        <w:rPr>
          <w:i/>
        </w:rPr>
        <w:lastRenderedPageBreak/>
        <w:t>Team</w:t>
      </w:r>
      <w:r w:rsidR="0017038D">
        <w:rPr>
          <w:i/>
        </w:rPr>
        <w:t>-</w:t>
      </w:r>
      <w:r w:rsidRPr="00B6564D">
        <w:rPr>
          <w:i/>
        </w:rPr>
        <w:t>level controls.</w:t>
      </w:r>
      <w:r>
        <w:t xml:space="preserve"> At the team level,</w:t>
      </w:r>
      <w:r w:rsidR="004240F2" w:rsidRPr="00D750CA">
        <w:t xml:space="preserve"> we control for </w:t>
      </w:r>
      <w:r w:rsidR="001F1FE5">
        <w:rPr>
          <w:i/>
        </w:rPr>
        <w:t>team</w:t>
      </w:r>
      <w:r w:rsidR="001F1FE5" w:rsidRPr="001F1FE5">
        <w:rPr>
          <w:i/>
        </w:rPr>
        <w:t xml:space="preserve"> size</w:t>
      </w:r>
      <w:r w:rsidR="001F1FE5">
        <w:t xml:space="preserve"> since larger teams tend to have </w:t>
      </w:r>
      <w:r w:rsidR="007873F2">
        <w:t xml:space="preserve">a broader knowledge </w:t>
      </w:r>
      <w:r w:rsidR="00610392">
        <w:t>stock</w:t>
      </w:r>
      <w:r w:rsidR="007873F2">
        <w:t xml:space="preserve"> to </w:t>
      </w:r>
      <w:r w:rsidR="00610392">
        <w:t>draw</w:t>
      </w:r>
      <w:r w:rsidR="007873F2">
        <w:t xml:space="preserve"> from</w:t>
      </w:r>
      <w:r w:rsidR="00610392">
        <w:t xml:space="preserve"> for</w:t>
      </w:r>
      <w:r w:rsidR="00BA7F76">
        <w:t xml:space="preserve"> knowledge</w:t>
      </w:r>
      <w:r w:rsidR="00610392">
        <w:t xml:space="preserve"> recombination</w:t>
      </w:r>
      <w:r w:rsidR="007873F2">
        <w:t xml:space="preserve">. </w:t>
      </w:r>
      <w:r w:rsidR="007873F2">
        <w:rPr>
          <w:i/>
        </w:rPr>
        <w:t xml:space="preserve">Team </w:t>
      </w:r>
      <w:r w:rsidR="007873F2" w:rsidRPr="00881684">
        <w:rPr>
          <w:i/>
        </w:rPr>
        <w:t>size</w:t>
      </w:r>
      <w:r w:rsidR="007873F2">
        <w:t xml:space="preserve"> is measured by the number of inventors appearing on a patent. </w:t>
      </w:r>
      <w:r w:rsidR="00E60C1A">
        <w:t>W</w:t>
      </w:r>
      <w:r w:rsidR="007873F2">
        <w:t xml:space="preserve">e control for the </w:t>
      </w:r>
      <w:r w:rsidR="007873F2">
        <w:rPr>
          <w:i/>
        </w:rPr>
        <w:t>share of female inventors</w:t>
      </w:r>
      <w:r w:rsidR="007C21DD">
        <w:t>,</w:t>
      </w:r>
      <w:r w:rsidR="007873F2">
        <w:t xml:space="preserve"> </w:t>
      </w:r>
      <w:r w:rsidR="007C21DD">
        <w:t xml:space="preserve">i.e., </w:t>
      </w:r>
      <w:r w:rsidR="007873F2">
        <w:t>the share of female non-star team members of all non-star team member</w:t>
      </w:r>
      <w:r w:rsidR="00BA7F76">
        <w:t>s</w:t>
      </w:r>
      <w:r w:rsidR="007873F2">
        <w:t xml:space="preserve"> for wh</w:t>
      </w:r>
      <w:r w:rsidR="0059558C">
        <w:t>om</w:t>
      </w:r>
      <w:r w:rsidR="007873F2">
        <w:t xml:space="preserve"> we were able to designate the gender. </w:t>
      </w:r>
      <w:r w:rsidR="00E60C1A">
        <w:t>We</w:t>
      </w:r>
      <w:r w:rsidR="00A62EF7">
        <w:t xml:space="preserve"> control for </w:t>
      </w:r>
      <w:r w:rsidR="00A62EF7">
        <w:rPr>
          <w:i/>
        </w:rPr>
        <w:t>team inventive performance</w:t>
      </w:r>
      <w:r w:rsidR="00A62EF7">
        <w:t xml:space="preserve">, measured as the average non-star team members’ inventor performance as of the year prior to the focal patent’s filing date. </w:t>
      </w:r>
      <w:r w:rsidR="00BB725E">
        <w:t xml:space="preserve">This is the same measure we used to identify </w:t>
      </w:r>
      <w:r w:rsidR="00B87D6C">
        <w:t>star inventors</w:t>
      </w:r>
      <w:r w:rsidR="00BB725E">
        <w:t xml:space="preserve"> </w:t>
      </w:r>
      <w:r w:rsidR="00A70A95">
        <w:t>and</w:t>
      </w:r>
      <w:r w:rsidR="004832FF" w:rsidRPr="00D750CA">
        <w:t xml:space="preserve"> encompasses the quantity and impact of the inventors</w:t>
      </w:r>
      <w:r w:rsidR="003D48D6">
        <w:t>’</w:t>
      </w:r>
      <w:r w:rsidR="004832FF" w:rsidRPr="00D750CA">
        <w:t xml:space="preserve"> prior patents</w:t>
      </w:r>
      <w:r w:rsidR="00BB725E">
        <w:t>.</w:t>
      </w:r>
      <w:r w:rsidR="0055504C">
        <w:t xml:space="preserve"> </w:t>
      </w:r>
      <w:r w:rsidR="006957BA">
        <w:t xml:space="preserve">Next, we control for </w:t>
      </w:r>
      <w:r w:rsidR="006957BA" w:rsidRPr="00847D22">
        <w:rPr>
          <w:i/>
        </w:rPr>
        <w:t xml:space="preserve">team </w:t>
      </w:r>
      <w:r w:rsidR="00847D22" w:rsidRPr="00847D22">
        <w:rPr>
          <w:i/>
        </w:rPr>
        <w:t xml:space="preserve">patenting </w:t>
      </w:r>
      <w:r w:rsidR="006957BA" w:rsidRPr="00847D22">
        <w:rPr>
          <w:i/>
        </w:rPr>
        <w:t>experience</w:t>
      </w:r>
      <w:r w:rsidR="006957BA">
        <w:t xml:space="preserve"> by </w:t>
      </w:r>
      <w:r w:rsidR="00012046">
        <w:t xml:space="preserve">looking at </w:t>
      </w:r>
      <w:r w:rsidR="006957BA">
        <w:t>both the average</w:t>
      </w:r>
      <w:r w:rsidR="00847D22">
        <w:t xml:space="preserve"> number</w:t>
      </w:r>
      <w:r w:rsidR="00A70A95">
        <w:t xml:space="preserve"> of</w:t>
      </w:r>
      <w:r w:rsidR="00847D22">
        <w:t xml:space="preserve"> </w:t>
      </w:r>
      <w:r w:rsidR="006957BA">
        <w:t xml:space="preserve">years and the average number of patents since the non-star team members’ </w:t>
      </w:r>
      <w:r w:rsidR="00847D22">
        <w:t xml:space="preserve">first </w:t>
      </w:r>
      <w:r w:rsidR="006957BA">
        <w:t>patent filing.</w:t>
      </w:r>
      <w:r w:rsidR="00F83F5B">
        <w:t xml:space="preserve"> </w:t>
      </w:r>
      <w:r w:rsidR="00A70A95">
        <w:t>Having more experienced team members will likely increase a team’s knowledge stock.</w:t>
      </w:r>
      <w:r w:rsidR="009670B1">
        <w:t xml:space="preserve"> </w:t>
      </w:r>
      <w:r w:rsidR="00F83F5B">
        <w:t>To account</w:t>
      </w:r>
      <w:r w:rsidR="006957BA">
        <w:t xml:space="preserve"> </w:t>
      </w:r>
      <w:r w:rsidR="00F83F5B">
        <w:t>for the possibility that team members already know each other</w:t>
      </w:r>
      <w:r w:rsidR="008F56B9">
        <w:t>,</w:t>
      </w:r>
      <w:r w:rsidR="00F83F5B">
        <w:t xml:space="preserve"> which might </w:t>
      </w:r>
      <w:r w:rsidR="00A70A95">
        <w:t>enhance</w:t>
      </w:r>
      <w:r w:rsidR="00F83F5B">
        <w:t xml:space="preserve"> the extent to which they share knowledge, we further control for </w:t>
      </w:r>
      <w:r w:rsidR="0059558C" w:rsidRPr="0017038D">
        <w:t xml:space="preserve">the </w:t>
      </w:r>
      <w:r w:rsidR="0059558C">
        <w:rPr>
          <w:i/>
        </w:rPr>
        <w:t>extent of prior collaboration</w:t>
      </w:r>
      <w:r w:rsidR="002225F5">
        <w:t xml:space="preserve">. </w:t>
      </w:r>
      <w:r w:rsidR="00315560">
        <w:t>This is</w:t>
      </w:r>
      <w:r w:rsidR="00721EE7" w:rsidRPr="00721EE7">
        <w:t xml:space="preserve"> measured </w:t>
      </w:r>
      <w:r w:rsidR="00A70A95">
        <w:t xml:space="preserve">as the share of non-star team members who have </w:t>
      </w:r>
      <w:r>
        <w:t xml:space="preserve">previously </w:t>
      </w:r>
      <w:r w:rsidR="00A70A95">
        <w:t>filed a patent with</w:t>
      </w:r>
      <w:r w:rsidR="0059558C">
        <w:t xml:space="preserve"> at least</w:t>
      </w:r>
      <w:r w:rsidR="00A70A95">
        <w:t xml:space="preserve"> one other team member </w:t>
      </w:r>
      <w:r>
        <w:t>o</w:t>
      </w:r>
      <w:r w:rsidR="00DD3113">
        <w:t>n</w:t>
      </w:r>
      <w:r>
        <w:t xml:space="preserve"> the focal patent. </w:t>
      </w:r>
      <w:r w:rsidR="001F6BF8" w:rsidRPr="00E60C1A">
        <w:t xml:space="preserve">While patenting experience and team size may account for the size of </w:t>
      </w:r>
      <w:r w:rsidR="001F1F8D" w:rsidRPr="00E60C1A">
        <w:t xml:space="preserve">a </w:t>
      </w:r>
      <w:r w:rsidR="001F6BF8" w:rsidRPr="00E60C1A">
        <w:t>team’s</w:t>
      </w:r>
      <w:r w:rsidR="001F6BF8">
        <w:t xml:space="preserve"> knowledge stock</w:t>
      </w:r>
      <w:r w:rsidR="00E62DEA">
        <w:t>,</w:t>
      </w:r>
      <w:r w:rsidR="001F6BF8">
        <w:t xml:space="preserve"> we control for the diversity of </w:t>
      </w:r>
      <w:r w:rsidR="008A18C2">
        <w:t xml:space="preserve">a </w:t>
      </w:r>
      <w:r w:rsidR="001F6BF8">
        <w:t xml:space="preserve">team’s knowledge stock via </w:t>
      </w:r>
      <w:r w:rsidR="001F6BF8">
        <w:rPr>
          <w:i/>
        </w:rPr>
        <w:t xml:space="preserve">technological team diversity </w:t>
      </w:r>
      <w:r w:rsidR="001F6BF8">
        <w:t xml:space="preserve">and </w:t>
      </w:r>
      <w:r w:rsidR="001F6BF8">
        <w:rPr>
          <w:i/>
        </w:rPr>
        <w:t>regional team diversity. Technological team diversity</w:t>
      </w:r>
      <w:r w:rsidR="001F6BF8">
        <w:t xml:space="preserve"> captures the number of distinct WIPO fields</w:t>
      </w:r>
      <w:r w:rsidR="008A18C2">
        <w:t xml:space="preserve"> </w:t>
      </w:r>
      <w:r w:rsidR="008A18C2">
        <w:fldChar w:fldCharType="begin" w:fldLock="1"/>
      </w:r>
      <w:r w:rsidR="00814EAA">
        <w:instrText>ADDIN CSL_CITATION {"citationItems":[{"id":"ITEM-1","itemData":{"abstract":"Cited by Corsino et al. (2019, SMJ)","author":[{"dropping-particle":"","family":"Schmoch","given":"Ulrich","non-dropping-particle":"","parse-names":false,"suffix":""}],"container-title":"Final report to the World Intellectual Property Organization (WIPO)","id":"ITEM-1","issue":"June","issued":{"date-parts":[["2008"]]},"number-of-pages":"1-15","title":"Concept of a technology classification for country comparisons","type":"report"},"uris":["http://www.mendeley.com/documents/?uuid=e530015b-1731-3b33-b6c8-c4f06520b24a"]}],"mendeley":{"formattedCitation":"(Schmoch, 2008)","plainTextFormattedCitation":"(Schmoch, 2008)","previouslyFormattedCitation":"(Schmoch, 2008)"},"properties":{"noteIndex":0},"schema":"https://github.com/citation-style-language/schema/raw/master/csl-citation.json"}</w:instrText>
      </w:r>
      <w:r w:rsidR="008A18C2">
        <w:fldChar w:fldCharType="separate"/>
      </w:r>
      <w:r w:rsidR="00814EAA" w:rsidRPr="00814EAA">
        <w:rPr>
          <w:noProof/>
        </w:rPr>
        <w:t>(Schmoch, 2008)</w:t>
      </w:r>
      <w:r w:rsidR="008A18C2">
        <w:fldChar w:fldCharType="end"/>
      </w:r>
      <w:r w:rsidR="001F6BF8">
        <w:t xml:space="preserve"> </w:t>
      </w:r>
      <w:r w:rsidR="004922C2">
        <w:t xml:space="preserve">the non-star team members have filed most of their patents in. </w:t>
      </w:r>
      <w:r w:rsidR="00DA76C0">
        <w:rPr>
          <w:i/>
        </w:rPr>
        <w:t>Regional team diversity</w:t>
      </w:r>
      <w:r w:rsidR="00DA76C0">
        <w:t xml:space="preserve">, on the other hand, is a count </w:t>
      </w:r>
      <w:r w:rsidR="00A41331">
        <w:t>of</w:t>
      </w:r>
      <w:r w:rsidR="00DA76C0">
        <w:t xml:space="preserve"> the different countries the team members come from. </w:t>
      </w:r>
    </w:p>
    <w:p w14:paraId="1035745B" w14:textId="68BDA5B9" w:rsidR="008923FD" w:rsidRDefault="008923FD" w:rsidP="005A2721">
      <w:r w:rsidRPr="008923FD">
        <w:rPr>
          <w:i/>
        </w:rPr>
        <w:t>Star</w:t>
      </w:r>
      <w:r w:rsidR="0017038D">
        <w:rPr>
          <w:i/>
        </w:rPr>
        <w:t>-</w:t>
      </w:r>
      <w:r w:rsidRPr="008923FD">
        <w:rPr>
          <w:i/>
        </w:rPr>
        <w:t>level controls</w:t>
      </w:r>
      <w:r>
        <w:t>.</w:t>
      </w:r>
      <w:r w:rsidR="0026587A">
        <w:t xml:space="preserve"> </w:t>
      </w:r>
      <w:r w:rsidR="00BE35D2">
        <w:t xml:space="preserve">At the </w:t>
      </w:r>
      <w:r w:rsidR="00E15CAD">
        <w:t>level of the star</w:t>
      </w:r>
      <w:r w:rsidR="008A18C2">
        <w:t>,</w:t>
      </w:r>
      <w:r w:rsidR="00E15CAD">
        <w:t xml:space="preserve"> we employ f</w:t>
      </w:r>
      <w:r w:rsidR="00BE4968">
        <w:t>our</w:t>
      </w:r>
      <w:r w:rsidR="00E15CAD">
        <w:t xml:space="preserve"> control variables. Since the star inventors are already pre-selected according to their exceptional relative performance, they can all be assumed to bring an </w:t>
      </w:r>
      <w:r w:rsidR="00E60C1A">
        <w:t>exceptional</w:t>
      </w:r>
      <w:r w:rsidR="00E15CAD">
        <w:t xml:space="preserve"> set of skills and abilities to the team. </w:t>
      </w:r>
      <w:r w:rsidR="006F7515">
        <w:t xml:space="preserve">To still </w:t>
      </w:r>
      <w:r w:rsidR="0075544A">
        <w:t xml:space="preserve">account </w:t>
      </w:r>
      <w:r w:rsidR="006F7515">
        <w:t xml:space="preserve">for differences in this right tail of the </w:t>
      </w:r>
      <w:r w:rsidR="000B3877">
        <w:t xml:space="preserve">inventor </w:t>
      </w:r>
      <w:r w:rsidR="00ED76C8">
        <w:t xml:space="preserve">performance </w:t>
      </w:r>
      <w:r w:rsidR="006F7515">
        <w:t>distribution</w:t>
      </w:r>
      <w:r w:rsidR="008A18C2">
        <w:t>,</w:t>
      </w:r>
      <w:r w:rsidR="006F7515">
        <w:t xml:space="preserve"> we </w:t>
      </w:r>
      <w:r w:rsidR="0075544A">
        <w:t xml:space="preserve">control </w:t>
      </w:r>
      <w:r w:rsidR="006F7515">
        <w:lastRenderedPageBreak/>
        <w:t xml:space="preserve">for </w:t>
      </w:r>
      <w:r w:rsidR="006F7515">
        <w:rPr>
          <w:i/>
        </w:rPr>
        <w:t>star inventive performance</w:t>
      </w:r>
      <w:r w:rsidR="006F7515">
        <w:t xml:space="preserve">, which reflects the impact and quantity of the star inventor’s prior performance. We further control for </w:t>
      </w:r>
      <w:r w:rsidR="006F7515">
        <w:rPr>
          <w:i/>
        </w:rPr>
        <w:t xml:space="preserve">star patenting experience (years) </w:t>
      </w:r>
      <w:r w:rsidR="006F7515">
        <w:t xml:space="preserve">and </w:t>
      </w:r>
      <w:r w:rsidR="006F7515" w:rsidRPr="00881684">
        <w:rPr>
          <w:i/>
        </w:rPr>
        <w:t>star</w:t>
      </w:r>
      <w:r w:rsidR="006F7515">
        <w:t xml:space="preserve"> </w:t>
      </w:r>
      <w:r w:rsidR="006F7515" w:rsidRPr="006F7515">
        <w:rPr>
          <w:i/>
        </w:rPr>
        <w:t>patenting experience (patents)</w:t>
      </w:r>
      <w:r w:rsidR="006F7515">
        <w:t xml:space="preserve"> </w:t>
      </w:r>
      <w:r w:rsidR="00081D41">
        <w:t xml:space="preserve">to </w:t>
      </w:r>
      <w:r w:rsidR="0072690A">
        <w:t>account for the time spent inventing and the number of patents previously filed, presumably increasing stars’ individual knowledge stocks</w:t>
      </w:r>
      <w:r w:rsidR="006F7515">
        <w:t>.</w:t>
      </w:r>
      <w:r w:rsidR="00450D47">
        <w:t xml:space="preserve"> </w:t>
      </w:r>
      <w:r w:rsidR="000B3877">
        <w:t xml:space="preserve">Next, </w:t>
      </w:r>
      <w:r w:rsidR="00B659E9">
        <w:t xml:space="preserve">we </w:t>
      </w:r>
      <w:r w:rsidR="0054501E">
        <w:t xml:space="preserve">control for </w:t>
      </w:r>
      <w:r w:rsidR="0054501E">
        <w:rPr>
          <w:i/>
        </w:rPr>
        <w:t>star technological diversity</w:t>
      </w:r>
      <w:r w:rsidR="0054501E">
        <w:t>, which counts the number of different WIPO fields</w:t>
      </w:r>
      <w:r w:rsidR="00CA6FA8">
        <w:t xml:space="preserve"> </w:t>
      </w:r>
      <w:r w:rsidR="00CA6FA8">
        <w:fldChar w:fldCharType="begin" w:fldLock="1"/>
      </w:r>
      <w:r w:rsidR="00814EAA">
        <w:instrText>ADDIN CSL_CITATION {"citationItems":[{"id":"ITEM-1","itemData":{"abstract":"Cited by Corsino et al. (2019, SMJ)","author":[{"dropping-particle":"","family":"Schmoch","given":"Ulrich","non-dropping-particle":"","parse-names":false,"suffix":""}],"container-title":"Final report to the World Intellectual Property Organization (WIPO)","id":"ITEM-1","issue":"June","issued":{"date-parts":[["2008"]]},"number-of-pages":"1-15","title":"Concept of a technology classification for country comparisons","type":"report"},"uris":["http://www.mendeley.com/documents/?uuid=e530015b-1731-3b33-b6c8-c4f06520b24a"]}],"mendeley":{"formattedCitation":"(Schmoch, 2008)","plainTextFormattedCitation":"(Schmoch, 2008)","previouslyFormattedCitation":"(Schmoch, 2008)"},"properties":{"noteIndex":0},"schema":"https://github.com/citation-style-language/schema/raw/master/csl-citation.json"}</w:instrText>
      </w:r>
      <w:r w:rsidR="00CA6FA8">
        <w:fldChar w:fldCharType="separate"/>
      </w:r>
      <w:r w:rsidR="00814EAA" w:rsidRPr="00814EAA">
        <w:rPr>
          <w:noProof/>
        </w:rPr>
        <w:t>(Schmoch, 2008)</w:t>
      </w:r>
      <w:r w:rsidR="00CA6FA8">
        <w:fldChar w:fldCharType="end"/>
      </w:r>
      <w:r w:rsidR="0054501E">
        <w:t xml:space="preserve"> </w:t>
      </w:r>
      <w:r w:rsidR="000B3877">
        <w:t>the star inventor has previously patented i</w:t>
      </w:r>
      <w:r w:rsidR="00FD6D0C">
        <w:t>n</w:t>
      </w:r>
      <w:r w:rsidR="000B3877">
        <w:t>.</w:t>
      </w:r>
      <w:r w:rsidR="007B2DE6">
        <w:t xml:space="preserve"> </w:t>
      </w:r>
      <w:r w:rsidR="00B40E92">
        <w:t xml:space="preserve">Lastly, we add </w:t>
      </w:r>
      <w:r w:rsidR="00B40E92" w:rsidRPr="00E60C1A">
        <w:rPr>
          <w:i/>
        </w:rPr>
        <w:t>country fixed effects</w:t>
      </w:r>
      <w:r w:rsidR="00B40E92">
        <w:t xml:space="preserve"> for the country of the star inventor based on the location that was recorded in the patent application process.</w:t>
      </w:r>
      <w:r w:rsidR="00B40E92" w:rsidRPr="00EE1D76">
        <w:rPr>
          <w:rStyle w:val="FootnoteReference"/>
        </w:rPr>
        <w:footnoteReference w:id="9"/>
      </w:r>
    </w:p>
    <w:p w14:paraId="546DFEB5" w14:textId="56DBE8A2" w:rsidR="00695EAA" w:rsidRDefault="000D344F" w:rsidP="005A2721">
      <w:r w:rsidRPr="000D344F">
        <w:rPr>
          <w:i/>
        </w:rPr>
        <w:t>Patent</w:t>
      </w:r>
      <w:r w:rsidR="009B7D43">
        <w:rPr>
          <w:i/>
        </w:rPr>
        <w:t>-</w:t>
      </w:r>
      <w:r w:rsidRPr="000D344F">
        <w:rPr>
          <w:i/>
        </w:rPr>
        <w:t>level controls</w:t>
      </w:r>
      <w:r w:rsidR="006D0465">
        <w:rPr>
          <w:i/>
        </w:rPr>
        <w:t xml:space="preserve">. </w:t>
      </w:r>
      <w:r w:rsidR="006D0465">
        <w:t xml:space="preserve">Finally, we also control for patent characteristics. </w:t>
      </w:r>
      <w:r w:rsidR="003D48D6">
        <w:t xml:space="preserve">The </w:t>
      </w:r>
      <w:r w:rsidR="003D48D6" w:rsidRPr="003D48D6">
        <w:rPr>
          <w:i/>
        </w:rPr>
        <w:t>n</w:t>
      </w:r>
      <w:r w:rsidR="006D0465" w:rsidRPr="003D48D6">
        <w:rPr>
          <w:i/>
        </w:rPr>
        <w:t xml:space="preserve">umber </w:t>
      </w:r>
      <w:r w:rsidR="006D0465">
        <w:rPr>
          <w:i/>
        </w:rPr>
        <w:t>of patent claims</w:t>
      </w:r>
      <w:r w:rsidR="006D0465">
        <w:t xml:space="preserve"> controls for the scope of the invention that is protected by the patent. The broader the scope of a patent, the more likely it combines different bodies of knowledge. The </w:t>
      </w:r>
      <w:r w:rsidR="006D0465" w:rsidRPr="006D0465">
        <w:rPr>
          <w:i/>
        </w:rPr>
        <w:t>size of the patent family</w:t>
      </w:r>
      <w:r w:rsidR="006D0465">
        <w:t xml:space="preserve"> controls for the different patent applications that belong to the same simple DOCDB family.</w:t>
      </w:r>
      <w:r w:rsidR="00CC5D14">
        <w:t xml:space="preserve"> The size of the patent family can be an indicator for the invention’s </w:t>
      </w:r>
      <w:r w:rsidR="00CC5D14" w:rsidRPr="00151B1B">
        <w:t xml:space="preserve">value </w:t>
      </w:r>
      <w:r w:rsidR="00225734" w:rsidRPr="00151B1B">
        <w:t>as patent families also cover</w:t>
      </w:r>
      <w:r w:rsidR="00225734">
        <w:t xml:space="preserve"> patent applications for the same invention with patent </w:t>
      </w:r>
      <w:proofErr w:type="spellStart"/>
      <w:r w:rsidR="00225734">
        <w:t>offices</w:t>
      </w:r>
      <w:proofErr w:type="spellEnd"/>
      <w:r w:rsidR="00225734">
        <w:t xml:space="preserve"> other than the USPTO.</w:t>
      </w:r>
      <w:r w:rsidR="00CC5D14">
        <w:t xml:space="preserve"> </w:t>
      </w:r>
      <w:r w:rsidR="00225734">
        <w:t>Given the cost</w:t>
      </w:r>
      <w:r w:rsidR="008F2A65">
        <w:t>s</w:t>
      </w:r>
      <w:r w:rsidR="00225734">
        <w:t xml:space="preserve"> associated with patenting, applications will </w:t>
      </w:r>
      <w:r w:rsidR="00CC5D14">
        <w:t xml:space="preserve">only be filed in multiple jurisdictions if deemed worthy. </w:t>
      </w:r>
      <w:r w:rsidR="006D0465">
        <w:t xml:space="preserve">The </w:t>
      </w:r>
      <w:r w:rsidR="006D0465">
        <w:rPr>
          <w:i/>
        </w:rPr>
        <w:t>number of backward citations</w:t>
      </w:r>
      <w:r w:rsidR="006D0465">
        <w:t xml:space="preserve"> </w:t>
      </w:r>
      <w:r w:rsidR="008F2A65">
        <w:t xml:space="preserve">captures </w:t>
      </w:r>
      <w:r w:rsidR="006D0465">
        <w:t>the number of references a patent makes to other patents</w:t>
      </w:r>
      <w:r w:rsidR="008623DF">
        <w:t xml:space="preserve"> and accounts for the fact </w:t>
      </w:r>
      <w:r w:rsidR="00E868DA">
        <w:t xml:space="preserve">that </w:t>
      </w:r>
      <w:r w:rsidR="00CF331C">
        <w:t>our dependent variable</w:t>
      </w:r>
      <w:r w:rsidR="008623DF">
        <w:t xml:space="preserve"> </w:t>
      </w:r>
      <w:r w:rsidR="008623DF" w:rsidRPr="00E60C1A">
        <w:t>knowledge recombination breadth and the</w:t>
      </w:r>
      <w:r w:rsidR="008623DF">
        <w:t xml:space="preserve"> precision of </w:t>
      </w:r>
      <w:r w:rsidR="00CF331C">
        <w:t>its</w:t>
      </w:r>
      <w:r w:rsidR="008623DF">
        <w:t xml:space="preserve"> measure increase with more backward citations (Gruber et al. 2013).</w:t>
      </w:r>
      <w:r w:rsidR="00E60C1A">
        <w:t xml:space="preserve"> The</w:t>
      </w:r>
      <w:r w:rsidR="008623DF">
        <w:t xml:space="preserve"> </w:t>
      </w:r>
      <w:r w:rsidR="00E60C1A">
        <w:rPr>
          <w:i/>
        </w:rPr>
        <w:t>n</w:t>
      </w:r>
      <w:r w:rsidR="00912861" w:rsidRPr="00912861">
        <w:rPr>
          <w:i/>
        </w:rPr>
        <w:t xml:space="preserve">umber of patent </w:t>
      </w:r>
      <w:r w:rsidR="00912861" w:rsidRPr="00881684">
        <w:rPr>
          <w:i/>
        </w:rPr>
        <w:t>applicants</w:t>
      </w:r>
      <w:r w:rsidR="00912861">
        <w:t xml:space="preserve"> controls for the number of distinct applicants, wh</w:t>
      </w:r>
      <w:r w:rsidR="00802423">
        <w:t>o</w:t>
      </w:r>
      <w:r w:rsidR="00912861">
        <w:t xml:space="preserve"> appear on the patent filing</w:t>
      </w:r>
      <w:r w:rsidR="00881F04">
        <w:t xml:space="preserve"> and are not listed as inventors. </w:t>
      </w:r>
      <w:r w:rsidR="004A49E7">
        <w:t xml:space="preserve">As we </w:t>
      </w:r>
      <w:r w:rsidR="00023FA5">
        <w:t>excluded</w:t>
      </w:r>
      <w:r w:rsidR="004A49E7">
        <w:t xml:space="preserve"> private patents</w:t>
      </w:r>
      <w:r w:rsidR="00023FA5">
        <w:t xml:space="preserve"> from the sample</w:t>
      </w:r>
      <w:r w:rsidR="004A49E7">
        <w:t>, the applicants are</w:t>
      </w:r>
      <w:r w:rsidR="00912861">
        <w:t xml:space="preserve"> </w:t>
      </w:r>
      <w:r w:rsidR="00912861">
        <w:lastRenderedPageBreak/>
        <w:t>firms</w:t>
      </w:r>
      <w:r w:rsidR="00881F04">
        <w:t xml:space="preserve"> or organizations</w:t>
      </w:r>
      <w:r w:rsidR="00912861">
        <w:t>.</w:t>
      </w:r>
      <w:r w:rsidR="00377430">
        <w:t xml:space="preserve"> </w:t>
      </w:r>
      <w:r w:rsidR="00E60C1A">
        <w:t>We</w:t>
      </w:r>
      <w:r w:rsidR="00F164E2">
        <w:t xml:space="preserve"> employ </w:t>
      </w:r>
      <w:r w:rsidR="00F164E2">
        <w:rPr>
          <w:i/>
        </w:rPr>
        <w:t>patent filing year</w:t>
      </w:r>
      <w:r w:rsidR="00F164E2">
        <w:t xml:space="preserve"> fixed effects to account for time trends in the data</w:t>
      </w:r>
      <w:r w:rsidR="00E868DA">
        <w:t>,</w:t>
      </w:r>
      <w:r w:rsidR="00F164E2">
        <w:t xml:space="preserve"> such as more knowledge being recombined in recent years and increased female patenting activity. </w:t>
      </w:r>
      <w:r w:rsidR="007F008C">
        <w:t>Lastly, we use</w:t>
      </w:r>
      <w:r w:rsidR="00453117">
        <w:t xml:space="preserve"> 131</w:t>
      </w:r>
      <w:r w:rsidR="007F008C">
        <w:t xml:space="preserve"> </w:t>
      </w:r>
      <w:r w:rsidR="007F008C" w:rsidRPr="007F008C">
        <w:rPr>
          <w:i/>
        </w:rPr>
        <w:t>technology class fixed effects</w:t>
      </w:r>
      <w:r w:rsidR="007F008C">
        <w:t xml:space="preserve"> based on the 3-digit IPC subclasses a focal patent has been assigned to. These fixed effects control for heterogeneity in patenting behavior across </w:t>
      </w:r>
      <w:r w:rsidR="0072690A">
        <w:t xml:space="preserve">technological </w:t>
      </w:r>
      <w:r w:rsidR="007F008C">
        <w:t xml:space="preserve">fields. </w:t>
      </w:r>
    </w:p>
    <w:p w14:paraId="5AE05C2C" w14:textId="6A279A91" w:rsidR="000814C9" w:rsidRDefault="00C65D0F" w:rsidP="00151B1B">
      <w:pPr>
        <w:spacing w:after="360"/>
      </w:pPr>
      <w:r>
        <w:t xml:space="preserve">Table 2 lists </w:t>
      </w:r>
      <w:r w:rsidR="00EC6F90">
        <w:t xml:space="preserve">summary statistics and descriptions for each of the presented variables. </w:t>
      </w:r>
      <w:r w:rsidR="005A4889">
        <w:t>Table 3 further present</w:t>
      </w:r>
      <w:r w:rsidR="006C6F73">
        <w:t>s</w:t>
      </w:r>
      <w:r w:rsidR="005A4889">
        <w:t xml:space="preserve"> bivariate correlations. </w:t>
      </w:r>
      <w:r w:rsidR="00FE4E11">
        <w:t>Correlation</w:t>
      </w:r>
      <w:r w:rsidR="008F2A65">
        <w:t>s</w:t>
      </w:r>
      <w:r w:rsidR="005A4889">
        <w:t xml:space="preserve"> between the independent variables are relatively low</w:t>
      </w:r>
      <w:r w:rsidR="004857EA">
        <w:t>, indicating that collinearity should not be a concern</w:t>
      </w:r>
      <w:r w:rsidR="00EF1712">
        <w:t xml:space="preserve">. </w:t>
      </w:r>
    </w:p>
    <w:tbl>
      <w:tblPr>
        <w:tblStyle w:val="TableGrid"/>
        <w:tblW w:w="0" w:type="auto"/>
        <w:jc w:val="center"/>
        <w:tblLook w:val="04A0" w:firstRow="1" w:lastRow="0" w:firstColumn="1" w:lastColumn="0" w:noHBand="0" w:noVBand="1"/>
      </w:tblPr>
      <w:tblGrid>
        <w:gridCol w:w="4052"/>
      </w:tblGrid>
      <w:tr w:rsidR="006C6F73" w:rsidRPr="00B5480F" w14:paraId="0E017DA1" w14:textId="77777777" w:rsidTr="00C957E5">
        <w:trPr>
          <w:trHeight w:val="385"/>
          <w:jc w:val="center"/>
        </w:trPr>
        <w:tc>
          <w:tcPr>
            <w:tcW w:w="4052" w:type="dxa"/>
            <w:tcBorders>
              <w:top w:val="single" w:sz="4" w:space="0" w:color="auto"/>
              <w:left w:val="nil"/>
              <w:bottom w:val="single" w:sz="4" w:space="0" w:color="auto"/>
              <w:right w:val="nil"/>
            </w:tcBorders>
            <w:vAlign w:val="center"/>
          </w:tcPr>
          <w:p w14:paraId="190FCB93" w14:textId="77777777" w:rsidR="006C6F73" w:rsidRPr="00D750CA" w:rsidRDefault="006C6F73" w:rsidP="00E60C1A">
            <w:pPr>
              <w:spacing w:line="240" w:lineRule="auto"/>
              <w:ind w:firstLine="0"/>
              <w:jc w:val="center"/>
            </w:pPr>
            <w:r w:rsidRPr="00D750CA">
              <w:t xml:space="preserve">Insert Table </w:t>
            </w:r>
            <w:r>
              <w:t>2</w:t>
            </w:r>
            <w:r w:rsidRPr="00D750CA">
              <w:t xml:space="preserve"> and Table </w:t>
            </w:r>
            <w:r>
              <w:t>3</w:t>
            </w:r>
            <w:r w:rsidRPr="00D750CA">
              <w:t xml:space="preserve"> about here</w:t>
            </w:r>
          </w:p>
        </w:tc>
      </w:tr>
    </w:tbl>
    <w:p w14:paraId="49980A11" w14:textId="681780CF" w:rsidR="00152F61" w:rsidRDefault="004240F2" w:rsidP="00292634">
      <w:pPr>
        <w:pStyle w:val="Heading1"/>
      </w:pPr>
      <w:r w:rsidRPr="00D750CA">
        <w:t>Results</w:t>
      </w:r>
    </w:p>
    <w:p w14:paraId="43977F35" w14:textId="16B10CC1" w:rsidR="002D5DF5" w:rsidRDefault="00781811" w:rsidP="002D5DF5">
      <w:r>
        <w:t xml:space="preserve">To test our hypothesis, we run multivariate linear regression models </w:t>
      </w:r>
      <w:r w:rsidR="00E042AA">
        <w:t>and</w:t>
      </w:r>
      <w:r w:rsidRPr="00BF56E4">
        <w:t xml:space="preserve"> </w:t>
      </w:r>
      <w:r>
        <w:t>estimate</w:t>
      </w:r>
      <w:r w:rsidRPr="00FB0D9F">
        <w:t xml:space="preserve"> </w:t>
      </w:r>
      <w:r>
        <w:t xml:space="preserve">how broadly teams with female stars recombine </w:t>
      </w:r>
      <w:r w:rsidRPr="00FB0D9F">
        <w:t>knowledge</w:t>
      </w:r>
      <w:r>
        <w:t xml:space="preserve"> compared to teams with male stars. </w:t>
      </w:r>
      <w:r w:rsidR="00E75003">
        <w:t xml:space="preserve">Table 4 presents </w:t>
      </w:r>
      <w:r w:rsidR="000B5F83">
        <w:t xml:space="preserve">five </w:t>
      </w:r>
      <w:r w:rsidR="008B3BE5">
        <w:t xml:space="preserve">linear regression </w:t>
      </w:r>
      <w:r w:rsidR="00E75003">
        <w:t>models testing the hypothesis that teams with female star</w:t>
      </w:r>
      <w:r w:rsidR="00B41773">
        <w:t xml:space="preserve">s </w:t>
      </w:r>
      <w:r w:rsidR="00E75003">
        <w:t>recombine knowledge</w:t>
      </w:r>
      <w:r w:rsidR="003C433B">
        <w:t xml:space="preserve"> more broadly</w:t>
      </w:r>
      <w:r w:rsidR="00E75003">
        <w:t xml:space="preserve"> than teams with male stars.</w:t>
      </w:r>
      <w:r w:rsidR="00075A38">
        <w:t xml:space="preserve"> </w:t>
      </w:r>
      <w:r w:rsidR="000B5F83">
        <w:t xml:space="preserve">In </w:t>
      </w:r>
      <w:r w:rsidR="00FD226E">
        <w:t>Model 4.1</w:t>
      </w:r>
      <w:r w:rsidR="000B5F83">
        <w:t xml:space="preserve"> we start with the </w:t>
      </w:r>
      <w:r w:rsidR="007255B3">
        <w:t xml:space="preserve">main independent </w:t>
      </w:r>
      <w:r w:rsidR="007255B3" w:rsidRPr="00FE2FE1">
        <w:t xml:space="preserve">variable </w:t>
      </w:r>
      <w:r w:rsidR="000B5F83" w:rsidRPr="00FE2FE1">
        <w:t xml:space="preserve">female star </w:t>
      </w:r>
      <w:r w:rsidR="00276251" w:rsidRPr="00FE2FE1">
        <w:t>inventor</w:t>
      </w:r>
      <w:r w:rsidR="007255B3" w:rsidRPr="00FE2FE1">
        <w:t xml:space="preserve">, </w:t>
      </w:r>
      <w:r w:rsidR="000B5F83" w:rsidRPr="00FE2FE1">
        <w:t>without</w:t>
      </w:r>
      <w:r w:rsidR="007255B3">
        <w:t xml:space="preserve"> including any</w:t>
      </w:r>
      <w:r w:rsidR="000B5F83">
        <w:t xml:space="preserve"> controls</w:t>
      </w:r>
      <w:r w:rsidR="007255B3">
        <w:t>,</w:t>
      </w:r>
      <w:r w:rsidR="000B5F83">
        <w:t xml:space="preserve"> and observe a positive and statistically significant relationship </w:t>
      </w:r>
      <w:r w:rsidR="007255B3">
        <w:t xml:space="preserve">with knowledge recombination breadth </w:t>
      </w:r>
      <w:r w:rsidR="000B5F83">
        <w:t>(</w:t>
      </w:r>
      <w:r w:rsidR="007255B3" w:rsidRPr="00EE0A54">
        <w:rPr>
          <w:i/>
        </w:rPr>
        <w:t>β</w:t>
      </w:r>
      <w:r w:rsidR="007255B3">
        <w:t xml:space="preserve"> = 0.06</w:t>
      </w:r>
      <w:r w:rsidR="00276251">
        <w:t>0</w:t>
      </w:r>
      <w:r w:rsidR="007255B3">
        <w:t xml:space="preserve">, </w:t>
      </w:r>
      <w:r w:rsidR="000B5F83" w:rsidRPr="00B41773">
        <w:rPr>
          <w:i/>
        </w:rPr>
        <w:t>p</w:t>
      </w:r>
      <w:r w:rsidR="000B5F83">
        <w:t xml:space="preserve"> &lt; 0.01)</w:t>
      </w:r>
      <w:r w:rsidR="007255B3">
        <w:t>. We then</w:t>
      </w:r>
      <w:r w:rsidR="000B5F83">
        <w:t xml:space="preserve"> subsequently add the weights obtained from the CEM matching</w:t>
      </w:r>
      <w:r w:rsidR="007255B3">
        <w:t xml:space="preserve"> that ensure a balanced sample </w:t>
      </w:r>
      <w:r w:rsidR="00EE0A54">
        <w:t>between patent</w:t>
      </w:r>
      <w:r w:rsidR="001B4B83">
        <w:t>s</w:t>
      </w:r>
      <w:r w:rsidR="00EE0A54">
        <w:t xml:space="preserve"> filed by inventor teams with male stars and patent</w:t>
      </w:r>
      <w:r w:rsidR="001B4B83">
        <w:t>s</w:t>
      </w:r>
      <w:r w:rsidR="00EE0A54">
        <w:t xml:space="preserve"> filed by inventor teams with female stars</w:t>
      </w:r>
      <w:r w:rsidR="007255B3">
        <w:t xml:space="preserve"> (Model </w:t>
      </w:r>
      <w:r w:rsidR="00FD226E">
        <w:t>4.</w:t>
      </w:r>
      <w:r w:rsidR="007255B3">
        <w:t>2), the</w:t>
      </w:r>
      <w:r w:rsidR="000B5F83">
        <w:t xml:space="preserve"> </w:t>
      </w:r>
      <w:r w:rsidR="00691B04">
        <w:t>team</w:t>
      </w:r>
      <w:r w:rsidR="009B7D43">
        <w:t>-level</w:t>
      </w:r>
      <w:r w:rsidR="00A36689">
        <w:t xml:space="preserve"> </w:t>
      </w:r>
      <w:r w:rsidR="00691B04">
        <w:t>controls</w:t>
      </w:r>
      <w:r w:rsidR="007255B3">
        <w:t xml:space="preserve"> (Model </w:t>
      </w:r>
      <w:r w:rsidR="00FD226E">
        <w:t>4.</w:t>
      </w:r>
      <w:r w:rsidR="007255B3">
        <w:t>3)</w:t>
      </w:r>
      <w:r w:rsidR="00FE2D65">
        <w:t>, the star</w:t>
      </w:r>
      <w:r w:rsidR="009B7D43">
        <w:t>-level</w:t>
      </w:r>
      <w:r w:rsidR="00FE2D65">
        <w:t xml:space="preserve"> controls</w:t>
      </w:r>
      <w:r w:rsidR="007255B3">
        <w:t xml:space="preserve"> (Model </w:t>
      </w:r>
      <w:r w:rsidR="00FD226E">
        <w:t>4.</w:t>
      </w:r>
      <w:r w:rsidR="007255B3">
        <w:t>4)</w:t>
      </w:r>
      <w:r w:rsidR="00FE2D65">
        <w:t xml:space="preserve"> and patent</w:t>
      </w:r>
      <w:r w:rsidR="00B41773">
        <w:t>-</w:t>
      </w:r>
      <w:r w:rsidR="00FE2D65">
        <w:t>level controls</w:t>
      </w:r>
      <w:r w:rsidR="009B7D43">
        <w:t xml:space="preserve"> (Model </w:t>
      </w:r>
      <w:r w:rsidR="00FD226E">
        <w:t>4.</w:t>
      </w:r>
      <w:r w:rsidR="009B7D43">
        <w:t>5)</w:t>
      </w:r>
      <w:r w:rsidR="00FE2D65">
        <w:t xml:space="preserve">. </w:t>
      </w:r>
    </w:p>
    <w:p w14:paraId="4DF89C77" w14:textId="5FE8B299" w:rsidR="00716805" w:rsidRDefault="0036779C" w:rsidP="002D5DF5">
      <w:r>
        <w:t>Across the</w:t>
      </w:r>
      <w:r w:rsidR="009B7D43">
        <w:t>se</w:t>
      </w:r>
      <w:r>
        <w:t xml:space="preserve"> model </w:t>
      </w:r>
      <w:r w:rsidR="00BE789A">
        <w:t>specifications,</w:t>
      </w:r>
      <w:r>
        <w:t xml:space="preserve"> we see a positive and statistically significant relationship </w:t>
      </w:r>
      <w:r w:rsidR="003C433B">
        <w:t>(</w:t>
      </w:r>
      <w:r w:rsidR="003C433B" w:rsidRPr="00B41773">
        <w:rPr>
          <w:i/>
        </w:rPr>
        <w:t>p</w:t>
      </w:r>
      <w:r w:rsidR="003C433B">
        <w:t xml:space="preserve"> &lt; 0.01)</w:t>
      </w:r>
      <w:r w:rsidR="00B41773">
        <w:t xml:space="preserve"> </w:t>
      </w:r>
      <w:r>
        <w:t xml:space="preserve">between having a female star on the </w:t>
      </w:r>
      <w:r w:rsidR="009B7D43">
        <w:t xml:space="preserve">team </w:t>
      </w:r>
      <w:r>
        <w:t xml:space="preserve">and knowledge </w:t>
      </w:r>
      <w:r>
        <w:lastRenderedPageBreak/>
        <w:t>recombination breadth</w:t>
      </w:r>
      <w:r w:rsidR="0019499A">
        <w:t>, on average</w:t>
      </w:r>
      <w:r>
        <w:t xml:space="preserve">. </w:t>
      </w:r>
      <w:r w:rsidR="009B7D43">
        <w:t>Importantly, the effect size decreases</w:t>
      </w:r>
      <w:r w:rsidR="00276251">
        <w:t xml:space="preserve"> from 0.060 to 0.025 when moving from the first to the second model, indicating that our matching achieves the goal of improving balance in the sample</w:t>
      </w:r>
      <w:r w:rsidR="00716805">
        <w:t xml:space="preserve"> and that it is important to control for inherent team differences</w:t>
      </w:r>
      <w:r w:rsidR="00276251">
        <w:t xml:space="preserve">. The effect size </w:t>
      </w:r>
      <w:r w:rsidR="0019499A">
        <w:t xml:space="preserve">remains robust </w:t>
      </w:r>
      <w:r w:rsidR="00276251">
        <w:t>as more controls are added, with only a slight decrease to 0.023 in the final model that includes all controls</w:t>
      </w:r>
      <w:r w:rsidR="00FF6634">
        <w:t>.</w:t>
      </w:r>
      <w:r w:rsidR="00276251">
        <w:t xml:space="preserve"> </w:t>
      </w:r>
      <w:r w:rsidR="00156B71">
        <w:t>At the same time</w:t>
      </w:r>
      <w:r w:rsidR="00FF6634">
        <w:t>,</w:t>
      </w:r>
      <w:r w:rsidR="00156B71">
        <w:t xml:space="preserve"> the model</w:t>
      </w:r>
      <w:r w:rsidR="00B81D93">
        <w:t>’</w:t>
      </w:r>
      <w:r w:rsidR="00156B71">
        <w:t xml:space="preserve">s explanatory power increases </w:t>
      </w:r>
      <w:r w:rsidR="00276251">
        <w:t>with the inclusion of the control variables</w:t>
      </w:r>
      <w:r w:rsidR="00FF6634">
        <w:t>,</w:t>
      </w:r>
      <w:r w:rsidR="00276251">
        <w:t xml:space="preserve"> </w:t>
      </w:r>
      <w:r w:rsidR="00FF6634">
        <w:t>resulting in</w:t>
      </w:r>
      <w:r w:rsidR="00276251">
        <w:t xml:space="preserve"> </w:t>
      </w:r>
      <w:r w:rsidR="00156B71">
        <w:t>an adjusted R-square of 0.2</w:t>
      </w:r>
      <w:r w:rsidR="009D2618">
        <w:t>2</w:t>
      </w:r>
      <w:r w:rsidR="00276251">
        <w:t>8</w:t>
      </w:r>
      <w:r w:rsidR="00156B71">
        <w:t xml:space="preserve"> in the </w:t>
      </w:r>
      <w:r w:rsidR="00276251">
        <w:t>final model</w:t>
      </w:r>
      <w:r w:rsidR="00156B71">
        <w:t xml:space="preserve">. </w:t>
      </w:r>
    </w:p>
    <w:p w14:paraId="68C70F21" w14:textId="0922C47D" w:rsidR="0019499A" w:rsidRDefault="007F2B0F" w:rsidP="005A2721">
      <w:r>
        <w:t xml:space="preserve">To </w:t>
      </w:r>
      <w:r w:rsidR="00FC313E">
        <w:t>illustrate</w:t>
      </w:r>
      <w:r>
        <w:t xml:space="preserve"> the magnitude of the effect</w:t>
      </w:r>
      <w:r w:rsidR="00B41773">
        <w:t>,</w:t>
      </w:r>
      <w:r w:rsidR="00A42E1F">
        <w:t xml:space="preserve"> </w:t>
      </w:r>
      <w:r>
        <w:t>we</w:t>
      </w:r>
      <w:r w:rsidR="00805185">
        <w:t xml:space="preserve"> benchmark the coefficient of </w:t>
      </w:r>
      <w:r w:rsidR="00805185" w:rsidRPr="00FE2FE1">
        <w:t>female star inventor against</w:t>
      </w:r>
      <w:r w:rsidR="00805185">
        <w:t xml:space="preserve"> other coefficients in the model</w:t>
      </w:r>
      <w:r w:rsidR="00E3429A">
        <w:t>.</w:t>
      </w:r>
      <w:r w:rsidR="00546564">
        <w:t xml:space="preserve"> </w:t>
      </w:r>
      <w:r w:rsidR="002D7A24">
        <w:t xml:space="preserve">Adding one additional member to the team, for example, </w:t>
      </w:r>
      <w:r w:rsidR="00656D72">
        <w:t>is associated with an increase</w:t>
      </w:r>
      <w:r w:rsidR="00613DA8">
        <w:t xml:space="preserve"> in</w:t>
      </w:r>
      <w:r w:rsidR="002D7A24">
        <w:t xml:space="preserve"> knowledge recombination breadth by 0.003 on average</w:t>
      </w:r>
      <w:r w:rsidR="003855F0">
        <w:t>,</w:t>
      </w:r>
      <w:r w:rsidR="002D7A24">
        <w:t xml:space="preserve"> holding everything else constant. </w:t>
      </w:r>
      <w:r w:rsidR="00656D72">
        <w:t>We can extend this</w:t>
      </w:r>
      <w:r w:rsidR="00546564">
        <w:t xml:space="preserve"> </w:t>
      </w:r>
      <w:r>
        <w:t>comparison</w:t>
      </w:r>
      <w:r w:rsidR="00656D72">
        <w:t xml:space="preserve"> to variables, which</w:t>
      </w:r>
      <w:r w:rsidR="00B22D8B">
        <w:t xml:space="preserve"> we </w:t>
      </w:r>
      <w:r>
        <w:t>normalize</w:t>
      </w:r>
      <w:r w:rsidR="00B22D8B">
        <w:t xml:space="preserve"> </w:t>
      </w:r>
      <w:r w:rsidR="00656D72">
        <w:t xml:space="preserve">by their standard deviation to ease interpretability </w:t>
      </w:r>
      <w:r w:rsidR="00613DA8">
        <w:t>(</w:t>
      </w:r>
      <w:r w:rsidR="00CF331C">
        <w:t>as indicated in Table 2)</w:t>
      </w:r>
      <w:r w:rsidR="00B22D8B">
        <w:t>.</w:t>
      </w:r>
      <w:r w:rsidR="00E3429A">
        <w:t xml:space="preserve"> </w:t>
      </w:r>
      <w:r w:rsidR="00DB3FBA">
        <w:t xml:space="preserve">An increase in </w:t>
      </w:r>
      <w:r w:rsidR="00F905DE">
        <w:t xml:space="preserve">a stars’ technological diversity by one standard deviation, for example, </w:t>
      </w:r>
      <w:r w:rsidR="00DB3FBA">
        <w:t xml:space="preserve">is related to an increase by 0.018 in </w:t>
      </w:r>
      <w:r w:rsidR="00F905DE">
        <w:t>knowledge recombination breadth, on average</w:t>
      </w:r>
      <w:r w:rsidR="00613DA8">
        <w:t>.</w:t>
      </w:r>
      <w:r w:rsidR="00DB3FBA">
        <w:t xml:space="preserve"> </w:t>
      </w:r>
      <w:r w:rsidR="004B3C59" w:rsidRPr="00FE2FE1">
        <w:t>Similar</w:t>
      </w:r>
      <w:r w:rsidR="00CD6443" w:rsidRPr="00FE2FE1">
        <w:t xml:space="preserve"> effect size</w:t>
      </w:r>
      <w:r w:rsidR="004B3C59" w:rsidRPr="00FE2FE1">
        <w:t>s</w:t>
      </w:r>
      <w:r w:rsidR="00CD6443" w:rsidRPr="00FE2FE1">
        <w:t xml:space="preserve"> can be observed for</w:t>
      </w:r>
      <w:r w:rsidR="00A42E1F" w:rsidRPr="00FE2FE1">
        <w:t xml:space="preserve"> one standard deviation changes in</w:t>
      </w:r>
      <w:r w:rsidR="00CD6443" w:rsidRPr="00FE2FE1">
        <w:t xml:space="preserve"> star inventive performance and </w:t>
      </w:r>
      <w:r w:rsidR="00DB3FBA" w:rsidRPr="00FE2FE1">
        <w:t>prior collaboration</w:t>
      </w:r>
      <w:r w:rsidR="00CD6443" w:rsidRPr="00FE2FE1">
        <w:t xml:space="preserve">. </w:t>
      </w:r>
      <w:r w:rsidR="00955F4A" w:rsidRPr="00FE2FE1">
        <w:t>Only</w:t>
      </w:r>
      <w:r w:rsidR="004155FD" w:rsidRPr="00FE2FE1">
        <w:t xml:space="preserve"> for</w:t>
      </w:r>
      <w:r w:rsidR="00955F4A" w:rsidRPr="00FE2FE1">
        <w:t xml:space="preserve"> technological team diversity </w:t>
      </w:r>
      <w:r w:rsidR="004155FD" w:rsidRPr="00FE2FE1">
        <w:t>we find</w:t>
      </w:r>
      <w:r w:rsidR="008E2108" w:rsidRPr="00FE2FE1">
        <w:t xml:space="preserve"> a </w:t>
      </w:r>
      <w:r w:rsidR="005E2587" w:rsidRPr="00FE2FE1">
        <w:t xml:space="preserve">slightly </w:t>
      </w:r>
      <w:r w:rsidR="008E2108" w:rsidRPr="00FE2FE1">
        <w:t>larger point estimate</w:t>
      </w:r>
      <w:r w:rsidR="00C2569E" w:rsidRPr="00FE2FE1">
        <w:t xml:space="preserve"> of </w:t>
      </w:r>
      <w:r w:rsidR="00DB7316" w:rsidRPr="00FE2FE1">
        <w:t>0.0</w:t>
      </w:r>
      <w:r w:rsidR="00DB3FBA" w:rsidRPr="00FE2FE1">
        <w:t>27</w:t>
      </w:r>
      <w:r w:rsidR="008E2108" w:rsidRPr="00FE2FE1">
        <w:t xml:space="preserve">. </w:t>
      </w:r>
      <w:r w:rsidR="00964154" w:rsidRPr="00FE2FE1">
        <w:t>Altogether</w:t>
      </w:r>
      <w:r w:rsidR="002E2D35">
        <w:t>,</w:t>
      </w:r>
      <w:r w:rsidR="00964154" w:rsidRPr="00FE2FE1">
        <w:t xml:space="preserve"> we interpret the results</w:t>
      </w:r>
      <w:r w:rsidR="00964154">
        <w:t xml:space="preserve"> summarized in Table 4 as support for our hypothesis</w:t>
      </w:r>
      <w:r w:rsidR="005E2587">
        <w:t xml:space="preserve"> and </w:t>
      </w:r>
      <w:r w:rsidR="000F49E3">
        <w:t xml:space="preserve">as </w:t>
      </w:r>
      <w:r w:rsidR="005E2587">
        <w:t>a</w:t>
      </w:r>
      <w:r w:rsidR="000F49E3">
        <w:t>n indication for</w:t>
      </w:r>
      <w:r w:rsidR="005E2587">
        <w:t xml:space="preserve"> </w:t>
      </w:r>
      <w:r w:rsidR="00416714">
        <w:t xml:space="preserve">a </w:t>
      </w:r>
      <w:r w:rsidR="005E2587">
        <w:t>meaningful and relevant effect</w:t>
      </w:r>
      <w:r w:rsidR="006252A2">
        <w:t>.</w:t>
      </w:r>
      <w:r w:rsidR="00C25786">
        <w:t xml:space="preserve"> </w:t>
      </w:r>
    </w:p>
    <w:tbl>
      <w:tblPr>
        <w:tblStyle w:val="TableGrid"/>
        <w:tblW w:w="0" w:type="auto"/>
        <w:jc w:val="center"/>
        <w:tblLook w:val="04A0" w:firstRow="1" w:lastRow="0" w:firstColumn="1" w:lastColumn="0" w:noHBand="0" w:noVBand="1"/>
      </w:tblPr>
      <w:tblGrid>
        <w:gridCol w:w="2835"/>
      </w:tblGrid>
      <w:tr w:rsidR="006252A2" w:rsidRPr="00D750CA" w14:paraId="062217A2" w14:textId="77777777" w:rsidTr="00BC4DD4">
        <w:trPr>
          <w:trHeight w:val="385"/>
          <w:jc w:val="center"/>
        </w:trPr>
        <w:tc>
          <w:tcPr>
            <w:tcW w:w="2835" w:type="dxa"/>
            <w:tcBorders>
              <w:top w:val="single" w:sz="4" w:space="0" w:color="auto"/>
              <w:left w:val="nil"/>
              <w:bottom w:val="single" w:sz="4" w:space="0" w:color="auto"/>
              <w:right w:val="nil"/>
            </w:tcBorders>
            <w:vAlign w:val="center"/>
          </w:tcPr>
          <w:p w14:paraId="379C66D7" w14:textId="77777777" w:rsidR="006252A2" w:rsidRPr="00D750CA" w:rsidRDefault="006252A2" w:rsidP="00BC4DD4">
            <w:pPr>
              <w:spacing w:line="240" w:lineRule="auto"/>
              <w:ind w:firstLine="0"/>
              <w:jc w:val="center"/>
            </w:pPr>
            <w:r w:rsidRPr="00D750CA">
              <w:t xml:space="preserve">Insert Table </w:t>
            </w:r>
            <w:r w:rsidR="0047166D">
              <w:t>4</w:t>
            </w:r>
            <w:r w:rsidRPr="00D750CA">
              <w:t xml:space="preserve"> about here</w:t>
            </w:r>
          </w:p>
        </w:tc>
      </w:tr>
    </w:tbl>
    <w:p w14:paraId="1A57F512" w14:textId="04EE5D84" w:rsidR="0047166D" w:rsidRDefault="0047166D" w:rsidP="00BC4DD4">
      <w:pPr>
        <w:pStyle w:val="Heading2"/>
        <w:spacing w:before="360"/>
      </w:pPr>
      <w:r w:rsidRPr="0047166D">
        <w:t>Robustness checks</w:t>
      </w:r>
      <w:r w:rsidR="009D23A9">
        <w:t xml:space="preserve"> and additional analyses</w:t>
      </w:r>
    </w:p>
    <w:p w14:paraId="5C449AE5" w14:textId="3C9273F8" w:rsidR="00F46F0A" w:rsidRDefault="00F46F0A" w:rsidP="005A2721">
      <w:r>
        <w:t>W</w:t>
      </w:r>
      <w:r w:rsidRPr="00C25786">
        <w:t xml:space="preserve">e </w:t>
      </w:r>
      <w:r>
        <w:t>test</w:t>
      </w:r>
      <w:r w:rsidRPr="00C25786">
        <w:t xml:space="preserve"> the robustness of </w:t>
      </w:r>
      <w:r>
        <w:t>our</w:t>
      </w:r>
      <w:r w:rsidRPr="00C25786">
        <w:t xml:space="preserve"> findings</w:t>
      </w:r>
      <w:r>
        <w:t xml:space="preserve"> and refute alternative explanations</w:t>
      </w:r>
      <w:r w:rsidRPr="00C25786">
        <w:t xml:space="preserve"> in a series of </w:t>
      </w:r>
      <w:r w:rsidR="00401FE5">
        <w:t>post-hoc analyses</w:t>
      </w:r>
      <w:r w:rsidR="00351E30">
        <w:t>.</w:t>
      </w:r>
      <w:r w:rsidR="009D23A9">
        <w:t xml:space="preserve"> </w:t>
      </w:r>
      <w:r w:rsidR="00351E30">
        <w:t>First, w</w:t>
      </w:r>
      <w:r w:rsidR="009D23A9">
        <w:t xml:space="preserve">e discuss and address concerns regarding </w:t>
      </w:r>
      <w:r w:rsidR="009D23A9" w:rsidRPr="009D23A9">
        <w:t xml:space="preserve">endogeneity </w:t>
      </w:r>
      <w:r w:rsidR="009D23A9">
        <w:t>and sample selection bias</w:t>
      </w:r>
      <w:r w:rsidR="004A0315">
        <w:t>. We then</w:t>
      </w:r>
      <w:r w:rsidR="009D23A9">
        <w:t xml:space="preserve"> provide </w:t>
      </w:r>
      <w:r w:rsidR="00495C1C">
        <w:t xml:space="preserve">suggestive </w:t>
      </w:r>
      <w:r w:rsidR="009D23A9">
        <w:t>evidence in support of the proposed mechanism.</w:t>
      </w:r>
      <w:r w:rsidR="00296A75">
        <w:t xml:space="preserve"> </w:t>
      </w:r>
      <w:r w:rsidR="004A0315">
        <w:lastRenderedPageBreak/>
        <w:t>Finally</w:t>
      </w:r>
      <w:r w:rsidR="009D23A9">
        <w:t xml:space="preserve">, we show that our </w:t>
      </w:r>
      <w:r w:rsidR="004A0315">
        <w:t>results</w:t>
      </w:r>
      <w:r w:rsidR="009D23A9">
        <w:t xml:space="preserve"> are </w:t>
      </w:r>
      <w:r w:rsidR="004A0315">
        <w:t xml:space="preserve">robust </w:t>
      </w:r>
      <w:r w:rsidR="00DF7606">
        <w:t>to using</w:t>
      </w:r>
      <w:r w:rsidR="009D23A9">
        <w:t xml:space="preserve"> </w:t>
      </w:r>
      <w:r w:rsidR="009D23A9" w:rsidRPr="009D23A9">
        <w:t xml:space="preserve">alternative </w:t>
      </w:r>
      <w:r w:rsidR="00060134" w:rsidRPr="009D23A9">
        <w:t>specifications</w:t>
      </w:r>
      <w:r w:rsidR="00060134">
        <w:t xml:space="preserve"> </w:t>
      </w:r>
      <w:r w:rsidR="00DF7606">
        <w:t>of</w:t>
      </w:r>
      <w:r w:rsidR="00060134">
        <w:t xml:space="preserve"> the </w:t>
      </w:r>
      <w:r w:rsidR="00DF7606">
        <w:t>dependent variable</w:t>
      </w:r>
      <w:r w:rsidR="00BC2B59">
        <w:t xml:space="preserve"> </w:t>
      </w:r>
      <w:r w:rsidR="00060134">
        <w:t xml:space="preserve">and an alternative </w:t>
      </w:r>
      <w:r w:rsidR="009D23A9" w:rsidRPr="009D23A9">
        <w:t>estimation strateg</w:t>
      </w:r>
      <w:r w:rsidR="00060134">
        <w:t>y.</w:t>
      </w:r>
    </w:p>
    <w:p w14:paraId="5A0C6875" w14:textId="047ECB6A" w:rsidR="00EC3B7A" w:rsidRDefault="00CD1119">
      <w:r w:rsidRPr="002549E5">
        <w:rPr>
          <w:b/>
          <w:i/>
        </w:rPr>
        <w:t>Endogeneity.</w:t>
      </w:r>
      <w:r w:rsidRPr="00CD1119">
        <w:rPr>
          <w:i/>
        </w:rPr>
        <w:t xml:space="preserve"> </w:t>
      </w:r>
      <w:r w:rsidR="00D617A7">
        <w:t xml:space="preserve">A central concern that may threaten the validity of our findings is that team composition and project choice are not random. </w:t>
      </w:r>
      <w:r w:rsidR="0053368F">
        <w:t xml:space="preserve">In other words, the </w:t>
      </w:r>
      <w:r w:rsidR="0053368F" w:rsidRPr="00D617A7">
        <w:t>presence of female stars may not be exogeneous with regard to team or project characteristics</w:t>
      </w:r>
      <w:r w:rsidR="00C761A6">
        <w:t xml:space="preserve">, which </w:t>
      </w:r>
      <w:r w:rsidR="00D617A7" w:rsidRPr="00D617A7">
        <w:t>may bias the OLS regression estimates</w:t>
      </w:r>
      <w:r w:rsidR="00351E30">
        <w:t xml:space="preserve"> </w:t>
      </w:r>
      <w:r w:rsidR="00351E30">
        <w:fldChar w:fldCharType="begin" w:fldLock="1"/>
      </w:r>
      <w:r w:rsidR="00814EAA">
        <w:instrText>ADDIN CSL_CITATION {"citationItems":[{"id":"ITEM-1","itemData":{"author":[{"dropping-particle":"","family":"Wooldridge","given":"Jeffrey","non-dropping-particle":"","parse-names":false,"suffix":""}],"id":"ITEM-1","issued":{"date-parts":[["2002"]]},"publisher":"The MIT Press","publisher-place":"London","title":"Economic analysis of cross-section and panel data","type":"book"},"uris":["http://www.mendeley.com/documents/?uuid=3f3d587d-a600-4107-a6bd-990b9e7f32f7"]}],"mendeley":{"formattedCitation":"(Wooldridge, 2002)","plainTextFormattedCitation":"(Wooldridge, 2002)","previouslyFormattedCitation":"(Wooldridge, 2002)"},"properties":{"noteIndex":0},"schema":"https://github.com/citation-style-language/schema/raw/master/csl-citation.json"}</w:instrText>
      </w:r>
      <w:r w:rsidR="00351E30">
        <w:fldChar w:fldCharType="separate"/>
      </w:r>
      <w:r w:rsidR="00814EAA" w:rsidRPr="00814EAA">
        <w:rPr>
          <w:noProof/>
        </w:rPr>
        <w:t>(Wooldridge, 2002)</w:t>
      </w:r>
      <w:r w:rsidR="00351E30">
        <w:fldChar w:fldCharType="end"/>
      </w:r>
      <w:r w:rsidR="00D617A7">
        <w:t>.</w:t>
      </w:r>
      <w:r w:rsidR="00D617A7" w:rsidRPr="00D617A7">
        <w:t xml:space="preserve"> </w:t>
      </w:r>
      <w:r w:rsidR="00D617A7">
        <w:t>Despite our rich set of control variables, t</w:t>
      </w:r>
      <w:r w:rsidR="00D617A7" w:rsidRPr="00D617A7">
        <w:t xml:space="preserve">he examined relationship </w:t>
      </w:r>
      <w:r w:rsidR="00D617A7">
        <w:t xml:space="preserve">between the presence of a female star and team knowledge recombination </w:t>
      </w:r>
      <w:r w:rsidR="00D617A7" w:rsidRPr="00D617A7">
        <w:t xml:space="preserve">may be biased </w:t>
      </w:r>
      <w:r w:rsidR="00D617A7">
        <w:t xml:space="preserve">by endogeneity from two main sources. First, </w:t>
      </w:r>
      <w:r w:rsidR="00D617A7" w:rsidRPr="00D617A7">
        <w:t>reverse causality</w:t>
      </w:r>
      <w:r w:rsidR="00D617A7">
        <w:t xml:space="preserve"> might occur as a</w:t>
      </w:r>
      <w:r w:rsidR="00D617A7" w:rsidRPr="00D617A7">
        <w:t>nticipated outcome</w:t>
      </w:r>
      <w:r w:rsidR="00D617A7">
        <w:t>s</w:t>
      </w:r>
      <w:r w:rsidR="00D617A7" w:rsidRPr="00D617A7">
        <w:t xml:space="preserve"> may affect the likelihood that female stars are assigned to specific types of teams or projects</w:t>
      </w:r>
      <w:r w:rsidR="0053368F">
        <w:t xml:space="preserve">. If </w:t>
      </w:r>
      <w:r w:rsidR="00D617A7" w:rsidRPr="00D617A7">
        <w:t>female stars</w:t>
      </w:r>
      <w:r w:rsidR="0053368F">
        <w:t xml:space="preserve"> were, for instance, </w:t>
      </w:r>
      <w:r w:rsidR="00D617A7" w:rsidRPr="00D617A7">
        <w:t xml:space="preserve">assigned to teams that are </w:t>
      </w:r>
      <w:r w:rsidR="00D617A7" w:rsidRPr="00416714">
        <w:rPr>
          <w:i/>
        </w:rPr>
        <w:t>better</w:t>
      </w:r>
      <w:r w:rsidR="00D617A7" w:rsidRPr="00D617A7">
        <w:t xml:space="preserve"> at recombining knowledge</w:t>
      </w:r>
      <w:r w:rsidR="0053368F">
        <w:t xml:space="preserve">, we would </w:t>
      </w:r>
      <w:r w:rsidR="00955805">
        <w:t xml:space="preserve">obtain biased </w:t>
      </w:r>
      <w:r w:rsidR="0053368F" w:rsidRPr="0053368F">
        <w:t xml:space="preserve">coefficients </w:t>
      </w:r>
      <w:r w:rsidR="0053368F">
        <w:t xml:space="preserve">in the OLS regression. Second, </w:t>
      </w:r>
      <w:r w:rsidR="00D617A7" w:rsidRPr="00D617A7">
        <w:t xml:space="preserve">omitted variables </w:t>
      </w:r>
      <w:r w:rsidR="0053368F">
        <w:t>may</w:t>
      </w:r>
      <w:r w:rsidR="00D617A7" w:rsidRPr="00D617A7">
        <w:t xml:space="preserve"> influence both </w:t>
      </w:r>
      <w:r w:rsidR="00D617A7">
        <w:t xml:space="preserve">the </w:t>
      </w:r>
      <w:r w:rsidR="00D617A7" w:rsidRPr="00D617A7">
        <w:t xml:space="preserve">independent and </w:t>
      </w:r>
      <w:r w:rsidR="00D617A7">
        <w:t xml:space="preserve">the </w:t>
      </w:r>
      <w:r w:rsidR="00D617A7" w:rsidRPr="00D617A7">
        <w:t>dependent variable</w:t>
      </w:r>
      <w:r w:rsidR="00DA3A8A">
        <w:t>,</w:t>
      </w:r>
      <w:r w:rsidR="002261EE">
        <w:t xml:space="preserve"> since through the matching</w:t>
      </w:r>
      <w:r w:rsidR="001B2BF7">
        <w:t xml:space="preserve"> and controls</w:t>
      </w:r>
      <w:r w:rsidR="002261EE">
        <w:t xml:space="preserve"> we only ensure that there are no differences on observables between teams with female and male stars</w:t>
      </w:r>
      <w:r w:rsidR="001B2BF7">
        <w:t>. T</w:t>
      </w:r>
      <w:r w:rsidR="0053368F" w:rsidRPr="0053368F">
        <w:t>eams</w:t>
      </w:r>
      <w:r w:rsidR="0053368F">
        <w:t xml:space="preserve"> or projects</w:t>
      </w:r>
      <w:r w:rsidR="0053368F" w:rsidRPr="0053368F">
        <w:t xml:space="preserve"> with female stars </w:t>
      </w:r>
      <w:r w:rsidR="002261EE">
        <w:t>may</w:t>
      </w:r>
      <w:r w:rsidR="001B2BF7">
        <w:t>, however,</w:t>
      </w:r>
      <w:r w:rsidR="002261EE">
        <w:t xml:space="preserve"> </w:t>
      </w:r>
      <w:r w:rsidR="0053368F" w:rsidRPr="0053368F">
        <w:t xml:space="preserve">differ from </w:t>
      </w:r>
      <w:r w:rsidR="0053368F">
        <w:t xml:space="preserve">those </w:t>
      </w:r>
      <w:r w:rsidR="0053368F" w:rsidRPr="0053368F">
        <w:t xml:space="preserve">with male stars on unobserved </w:t>
      </w:r>
      <w:r w:rsidR="0053368F">
        <w:t xml:space="preserve">factors that </w:t>
      </w:r>
      <w:r w:rsidR="002261EE">
        <w:t xml:space="preserve">could </w:t>
      </w:r>
      <w:r w:rsidR="0053368F">
        <w:t xml:space="preserve">also </w:t>
      </w:r>
      <w:r w:rsidR="00EC3B7A">
        <w:t>relate to</w:t>
      </w:r>
      <w:r w:rsidR="0053368F">
        <w:t xml:space="preserve"> knowledge recombination</w:t>
      </w:r>
      <w:r w:rsidR="008B3BE5">
        <w:t>. For instance, one possibility could be that</w:t>
      </w:r>
      <w:r w:rsidR="0053368F">
        <w:t xml:space="preserve"> </w:t>
      </w:r>
      <w:r w:rsidR="0053368F" w:rsidRPr="0053368F">
        <w:t>teams with female stars</w:t>
      </w:r>
      <w:r w:rsidR="0053368F">
        <w:t xml:space="preserve"> </w:t>
      </w:r>
      <w:r w:rsidR="0053368F" w:rsidRPr="0053368F">
        <w:t>work on broader, more interdisciplinary topics with higher potential for knowledge recombination</w:t>
      </w:r>
      <w:r w:rsidR="000A7290">
        <w:t>,</w:t>
      </w:r>
      <w:r w:rsidR="002261EE">
        <w:t xml:space="preserve"> and this may not fully be captured by our team- and patent-level controls such as technological </w:t>
      </w:r>
      <w:r w:rsidR="00351E30">
        <w:t>team diversity</w:t>
      </w:r>
      <w:r w:rsidR="0053368F">
        <w:t>.</w:t>
      </w:r>
      <w:r w:rsidR="001B2BF7">
        <w:t xml:space="preserve"> </w:t>
      </w:r>
    </w:p>
    <w:p w14:paraId="10518AAD" w14:textId="2B7593EF" w:rsidR="0025610F" w:rsidRPr="0025610F" w:rsidRDefault="001B2BF7" w:rsidP="005A2721">
      <w:pPr>
        <w:rPr>
          <w:rFonts w:eastAsia="SimSun"/>
          <w:kern w:val="24"/>
          <w:lang w:eastAsia="zh-TW"/>
        </w:rPr>
      </w:pPr>
      <w:r w:rsidRPr="001B2BF7">
        <w:t>To mitigate these concerns</w:t>
      </w:r>
      <w:r>
        <w:t>, we use</w:t>
      </w:r>
      <w:r w:rsidRPr="001B2BF7">
        <w:t xml:space="preserve"> </w:t>
      </w:r>
      <w:r w:rsidR="00351E30">
        <w:t xml:space="preserve">an </w:t>
      </w:r>
      <w:r w:rsidRPr="001B2BF7">
        <w:t xml:space="preserve">instrumental variable (IV) </w:t>
      </w:r>
      <w:r>
        <w:t>regression</w:t>
      </w:r>
      <w:r w:rsidRPr="001B2BF7">
        <w:t xml:space="preserve"> as a robustness </w:t>
      </w:r>
      <w:r w:rsidR="004E1E81">
        <w:t>check</w:t>
      </w:r>
      <w:r>
        <w:t xml:space="preserve">. We use the </w:t>
      </w:r>
      <w:r w:rsidRPr="001B2BF7">
        <w:rPr>
          <w:i/>
        </w:rPr>
        <w:t>share of female inventors per industry, year and country</w:t>
      </w:r>
      <w:r w:rsidR="004757A5">
        <w:rPr>
          <w:i/>
        </w:rPr>
        <w:t>/</w:t>
      </w:r>
      <w:r w:rsidR="00BE1D87">
        <w:rPr>
          <w:i/>
        </w:rPr>
        <w:t>state</w:t>
      </w:r>
      <w:r w:rsidR="00BE1D87" w:rsidRPr="00EE1D76">
        <w:rPr>
          <w:rStyle w:val="FootnoteReference"/>
        </w:rPr>
        <w:footnoteReference w:id="10"/>
      </w:r>
      <w:r w:rsidRPr="001B2BF7">
        <w:t xml:space="preserve"> </w:t>
      </w:r>
      <w:r>
        <w:t>as an instrument.</w:t>
      </w:r>
      <w:r w:rsidR="00EC3B7A">
        <w:t xml:space="preserve"> </w:t>
      </w:r>
      <w:r>
        <w:t xml:space="preserve">A valid instrument </w:t>
      </w:r>
      <w:r w:rsidRPr="001B2BF7">
        <w:t>needs to</w:t>
      </w:r>
      <w:r>
        <w:t xml:space="preserve"> be relevant, i.e.</w:t>
      </w:r>
      <w:r w:rsidR="004757A5">
        <w:t>,</w:t>
      </w:r>
      <w:r>
        <w:t xml:space="preserve"> </w:t>
      </w:r>
      <w:r w:rsidRPr="001B2BF7">
        <w:t xml:space="preserve">correlated with the endogenous </w:t>
      </w:r>
      <w:r w:rsidRPr="001B2BF7">
        <w:lastRenderedPageBreak/>
        <w:t xml:space="preserve">variable </w:t>
      </w:r>
      <w:r w:rsidRPr="00BC4DD4">
        <w:t xml:space="preserve">(female star), and exogenous, i.e., not correlated with the dependent variable (knowledge recombination breadth) </w:t>
      </w:r>
      <w:r w:rsidR="0052035D" w:rsidRPr="00BC4DD4">
        <w:rPr>
          <w:rFonts w:eastAsia="SimSun"/>
          <w:kern w:val="24"/>
          <w:lang w:eastAsia="zh-TW"/>
        </w:rPr>
        <w:t>or the error term capturing unobserved factors</w:t>
      </w:r>
      <w:r w:rsidR="0052035D" w:rsidRPr="00BC4DD4">
        <w:t xml:space="preserve"> in ways other than though the endogenous variable</w:t>
      </w:r>
      <w:r w:rsidR="00A77ED9">
        <w:t xml:space="preserve"> </w:t>
      </w:r>
      <w:r w:rsidR="00A77ED9">
        <w:fldChar w:fldCharType="begin" w:fldLock="1"/>
      </w:r>
      <w:r w:rsidR="00814EAA">
        <w:instrText>ADDIN CSL_CITATION {"citationItems":[{"id":"ITEM-1","itemData":{"author":[{"dropping-particle":"","family":"Wooldridge","given":"Jeffrey","non-dropping-particle":"","parse-names":false,"suffix":""}],"id":"ITEM-1","issued":{"date-parts":[["2002"]]},"publisher":"The MIT Press","publisher-place":"London","title":"Economic analysis of cross-section and panel data","type":"book"},"uris":["http://www.mendeley.com/documents/?uuid=3f3d587d-a600-4107-a6bd-990b9e7f32f7"]}],"mendeley":{"formattedCitation":"(Wooldridge, 2002)","plainTextFormattedCitation":"(Wooldridge, 2002)","previouslyFormattedCitation":"(Wooldridge, 2002)"},"properties":{"noteIndex":0},"schema":"https://github.com/citation-style-language/schema/raw/master/csl-citation.json"}</w:instrText>
      </w:r>
      <w:r w:rsidR="00A77ED9">
        <w:fldChar w:fldCharType="separate"/>
      </w:r>
      <w:r w:rsidR="00814EAA" w:rsidRPr="00814EAA">
        <w:rPr>
          <w:noProof/>
        </w:rPr>
        <w:t>(Wooldridge, 2002)</w:t>
      </w:r>
      <w:r w:rsidR="00A77ED9">
        <w:fldChar w:fldCharType="end"/>
      </w:r>
      <w:r w:rsidR="00A77ED9">
        <w:t xml:space="preserve">. </w:t>
      </w:r>
      <w:r w:rsidRPr="00BC4DD4">
        <w:t>The share of female inventors per industry, year and country</w:t>
      </w:r>
      <w:r w:rsidR="004757A5" w:rsidRPr="00BC4DD4">
        <w:t>/state</w:t>
      </w:r>
      <w:r w:rsidRPr="00BC4DD4">
        <w:t xml:space="preserve"> </w:t>
      </w:r>
      <w:r w:rsidR="00404ACB" w:rsidRPr="00BC4DD4">
        <w:t>can be considered</w:t>
      </w:r>
      <w:r w:rsidRPr="00BC4DD4">
        <w:t xml:space="preserve"> relevant because the likelihood of having a female star on </w:t>
      </w:r>
      <w:r w:rsidR="00C747CA" w:rsidRPr="00BC4DD4">
        <w:t>a</w:t>
      </w:r>
      <w:r w:rsidRPr="00BC4DD4">
        <w:t xml:space="preserve"> team is determined by the pool of active female</w:t>
      </w:r>
      <w:r w:rsidRPr="001B2BF7">
        <w:t xml:space="preserve"> inventors</w:t>
      </w:r>
      <w:r w:rsidR="007C2111">
        <w:t xml:space="preserve"> </w:t>
      </w:r>
      <w:r w:rsidRPr="001B2BF7">
        <w:t xml:space="preserve">in the peer group </w:t>
      </w:r>
      <w:r w:rsidR="0052035D">
        <w:t>(same year</w:t>
      </w:r>
      <w:r w:rsidR="00803E2B">
        <w:t>, industry</w:t>
      </w:r>
      <w:r w:rsidR="0052035D">
        <w:t xml:space="preserve"> and country</w:t>
      </w:r>
      <w:r w:rsidR="004757A5">
        <w:t>/state</w:t>
      </w:r>
      <w:r w:rsidR="0052035D">
        <w:t>). A higher share of female inventors in the peer group increases the likelihood of one of them becoming</w:t>
      </w:r>
      <w:r w:rsidR="00876F1C">
        <w:t xml:space="preserve"> a</w:t>
      </w:r>
      <w:r w:rsidR="0052035D">
        <w:t xml:space="preserve"> star</w:t>
      </w:r>
      <w:r w:rsidR="0031206C">
        <w:t xml:space="preserve"> and working on a patent in that industry, year, and </w:t>
      </w:r>
      <w:r w:rsidR="00E72D87">
        <w:t>country/state</w:t>
      </w:r>
      <w:r w:rsidR="0052035D">
        <w:t xml:space="preserve">. </w:t>
      </w:r>
      <w:r w:rsidR="0025610F">
        <w:t>The relevance of the instrument is also validated by our data</w:t>
      </w:r>
      <w:r w:rsidR="0025610F">
        <w:rPr>
          <w:rFonts w:eastAsia="SimSun"/>
          <w:kern w:val="24"/>
          <w:lang w:eastAsia="zh-TW"/>
        </w:rPr>
        <w:t xml:space="preserve"> as</w:t>
      </w:r>
      <w:r w:rsidR="000A7290">
        <w:rPr>
          <w:rFonts w:eastAsia="SimSun"/>
          <w:kern w:val="24"/>
          <w:lang w:eastAsia="zh-TW"/>
        </w:rPr>
        <w:t xml:space="preserve"> </w:t>
      </w:r>
      <w:r w:rsidR="0025610F">
        <w:rPr>
          <w:rFonts w:eastAsia="SimSun"/>
          <w:kern w:val="24"/>
          <w:lang w:eastAsia="zh-TW"/>
        </w:rPr>
        <w:t>t</w:t>
      </w:r>
      <w:r w:rsidR="0025610F" w:rsidRPr="0052035D">
        <w:rPr>
          <w:rFonts w:eastAsia="SimSun"/>
          <w:kern w:val="24"/>
          <w:lang w:eastAsia="zh-TW"/>
        </w:rPr>
        <w:t xml:space="preserve">he instrument exhibits a positive correlation with the endogenous variable </w:t>
      </w:r>
      <w:r w:rsidR="0025610F" w:rsidRPr="00BC4DD4">
        <w:rPr>
          <w:rFonts w:eastAsia="SimSun"/>
          <w:kern w:val="24"/>
          <w:lang w:eastAsia="zh-TW"/>
        </w:rPr>
        <w:t>female star</w:t>
      </w:r>
      <w:r w:rsidR="0025610F" w:rsidRPr="0052035D">
        <w:rPr>
          <w:rFonts w:eastAsia="SimSun"/>
          <w:kern w:val="24"/>
          <w:lang w:eastAsia="zh-TW"/>
        </w:rPr>
        <w:t xml:space="preserve"> (</w:t>
      </w:r>
      <w:r w:rsidR="0025610F" w:rsidRPr="00642384">
        <w:rPr>
          <w:rFonts w:eastAsia="SimSun"/>
          <w:kern w:val="24"/>
          <w:lang w:eastAsia="zh-TW"/>
        </w:rPr>
        <w:t xml:space="preserve">correlation </w:t>
      </w:r>
      <w:r w:rsidR="0025610F" w:rsidRPr="00642384">
        <w:rPr>
          <w:rFonts w:eastAsia="SimSun"/>
          <w:i/>
          <w:kern w:val="24"/>
          <w:lang w:eastAsia="zh-TW"/>
        </w:rPr>
        <w:t xml:space="preserve">= </w:t>
      </w:r>
      <w:r w:rsidR="0026196A" w:rsidRPr="00BC4DD4">
        <w:rPr>
          <w:rFonts w:eastAsia="SimSun"/>
          <w:kern w:val="24"/>
          <w:lang w:eastAsia="zh-TW"/>
        </w:rPr>
        <w:t>0.072,</w:t>
      </w:r>
      <w:r w:rsidR="0026196A">
        <w:rPr>
          <w:rFonts w:eastAsia="SimSun"/>
          <w:kern w:val="24"/>
          <w:lang w:eastAsia="zh-TW"/>
        </w:rPr>
        <w:t xml:space="preserve"> </w:t>
      </w:r>
      <w:r w:rsidR="0026196A" w:rsidRPr="00BC4DD4">
        <w:rPr>
          <w:rFonts w:eastAsia="SimSun"/>
          <w:i/>
          <w:kern w:val="24"/>
          <w:lang w:eastAsia="zh-TW"/>
        </w:rPr>
        <w:t>p</w:t>
      </w:r>
      <w:r w:rsidR="00642384">
        <w:rPr>
          <w:rFonts w:eastAsia="SimSun"/>
          <w:kern w:val="24"/>
          <w:lang w:eastAsia="zh-TW"/>
        </w:rPr>
        <w:t xml:space="preserve"> </w:t>
      </w:r>
      <w:r w:rsidR="0026196A">
        <w:rPr>
          <w:rFonts w:eastAsia="SimSun"/>
          <w:kern w:val="24"/>
          <w:lang w:eastAsia="zh-TW"/>
        </w:rPr>
        <w:t>&lt; 0.01</w:t>
      </w:r>
      <w:r w:rsidR="0025610F" w:rsidRPr="0052035D">
        <w:rPr>
          <w:rFonts w:eastAsia="SimSun"/>
          <w:kern w:val="24"/>
          <w:lang w:eastAsia="zh-TW"/>
        </w:rPr>
        <w:t>)</w:t>
      </w:r>
      <w:r w:rsidR="0025610F">
        <w:rPr>
          <w:rFonts w:eastAsia="SimSun"/>
          <w:kern w:val="24"/>
          <w:lang w:eastAsia="zh-TW"/>
        </w:rPr>
        <w:t xml:space="preserve">. </w:t>
      </w:r>
      <w:r w:rsidR="0052035D" w:rsidRPr="0052035D">
        <w:t>Conditional on</w:t>
      </w:r>
      <w:r w:rsidR="00C6085C">
        <w:t xml:space="preserve"> the</w:t>
      </w:r>
      <w:r w:rsidR="0052035D" w:rsidRPr="0052035D">
        <w:t xml:space="preserve"> controls, especially those for team characteristics</w:t>
      </w:r>
      <w:r w:rsidR="00C6085C">
        <w:t xml:space="preserve"> including the share of women on the team</w:t>
      </w:r>
      <w:r w:rsidR="0052035D" w:rsidRPr="0052035D">
        <w:t xml:space="preserve">, </w:t>
      </w:r>
      <w:r w:rsidR="0052035D">
        <w:t>exogeneity is given</w:t>
      </w:r>
      <w:r w:rsidR="00991286">
        <w:t>,</w:t>
      </w:r>
      <w:r w:rsidR="0052035D">
        <w:t xml:space="preserve"> as </w:t>
      </w:r>
      <w:r w:rsidR="0052035D" w:rsidRPr="0052035D">
        <w:t xml:space="preserve">the share of women in the peer group is </w:t>
      </w:r>
      <w:r w:rsidR="00D30E58">
        <w:t xml:space="preserve">theoretically unrelated </w:t>
      </w:r>
      <w:r w:rsidR="0052035D" w:rsidRPr="0052035D">
        <w:t>to the focal team’s knowledge recombination other than through the focal female sta</w:t>
      </w:r>
      <w:r w:rsidR="0052035D">
        <w:t xml:space="preserve">r. </w:t>
      </w:r>
    </w:p>
    <w:tbl>
      <w:tblPr>
        <w:tblStyle w:val="TableGrid"/>
        <w:tblW w:w="0" w:type="auto"/>
        <w:jc w:val="center"/>
        <w:tblLook w:val="04A0" w:firstRow="1" w:lastRow="0" w:firstColumn="1" w:lastColumn="0" w:noHBand="0" w:noVBand="1"/>
      </w:tblPr>
      <w:tblGrid>
        <w:gridCol w:w="2835"/>
      </w:tblGrid>
      <w:tr w:rsidR="0025610F" w:rsidRPr="00D750CA" w14:paraId="2ED9A408" w14:textId="77777777" w:rsidTr="00164F21">
        <w:trPr>
          <w:trHeight w:val="385"/>
          <w:jc w:val="center"/>
        </w:trPr>
        <w:tc>
          <w:tcPr>
            <w:tcW w:w="2835" w:type="dxa"/>
            <w:tcBorders>
              <w:top w:val="single" w:sz="4" w:space="0" w:color="auto"/>
              <w:left w:val="nil"/>
              <w:bottom w:val="single" w:sz="4" w:space="0" w:color="auto"/>
              <w:right w:val="nil"/>
            </w:tcBorders>
            <w:vAlign w:val="center"/>
          </w:tcPr>
          <w:p w14:paraId="2341D01D" w14:textId="248D1137" w:rsidR="0025610F" w:rsidRPr="00D750CA" w:rsidRDefault="0025610F" w:rsidP="008337DF">
            <w:pPr>
              <w:spacing w:line="240" w:lineRule="auto"/>
              <w:ind w:firstLine="0"/>
            </w:pPr>
            <w:r w:rsidRPr="00D750CA">
              <w:t xml:space="preserve">Insert Table </w:t>
            </w:r>
            <w:r>
              <w:t>5</w:t>
            </w:r>
            <w:r w:rsidRPr="00D750CA">
              <w:t xml:space="preserve"> about here</w:t>
            </w:r>
          </w:p>
        </w:tc>
      </w:tr>
    </w:tbl>
    <w:p w14:paraId="3FC1AFD2" w14:textId="604E9DEA" w:rsidR="00C763B0" w:rsidRDefault="00C6085C" w:rsidP="00BC4DD4">
      <w:pPr>
        <w:spacing w:before="360"/>
      </w:pPr>
      <w:r w:rsidRPr="00C6085C">
        <w:rPr>
          <w:rFonts w:eastAsia="SimSun"/>
          <w:kern w:val="24"/>
          <w:lang w:eastAsia="zh-TW"/>
        </w:rPr>
        <w:t xml:space="preserve">First- and second-stage results of the IV regression are shown in Table </w:t>
      </w:r>
      <w:r w:rsidR="0025610F">
        <w:rPr>
          <w:rFonts w:eastAsia="SimSun"/>
          <w:kern w:val="24"/>
          <w:lang w:eastAsia="zh-TW"/>
        </w:rPr>
        <w:t>5</w:t>
      </w:r>
      <w:r w:rsidRPr="00C6085C">
        <w:rPr>
          <w:rFonts w:eastAsia="SimSun"/>
          <w:kern w:val="24"/>
          <w:lang w:eastAsia="zh-TW"/>
        </w:rPr>
        <w:t xml:space="preserve">. </w:t>
      </w:r>
      <w:r w:rsidRPr="00C6085C">
        <w:t>First-stage IV results</w:t>
      </w:r>
      <w:r w:rsidR="00267956">
        <w:t xml:space="preserve"> (dependent variable: </w:t>
      </w:r>
      <w:r w:rsidR="00267956" w:rsidRPr="00BC4DD4">
        <w:t>female star)</w:t>
      </w:r>
      <w:r w:rsidRPr="00BC4DD4">
        <w:t xml:space="preserve"> indicate that</w:t>
      </w:r>
      <w:r w:rsidRPr="00C6085C">
        <w:t xml:space="preserve"> the instrument</w:t>
      </w:r>
      <w:r w:rsidR="00267956">
        <w:t xml:space="preserve"> coefficient is highly</w:t>
      </w:r>
      <w:r w:rsidRPr="00C6085C">
        <w:t xml:space="preserve"> significan</w:t>
      </w:r>
      <w:r w:rsidR="00267956">
        <w:t>t</w:t>
      </w:r>
      <w:r>
        <w:t xml:space="preserve"> and positive </w:t>
      </w:r>
      <w:r w:rsidRPr="00C6085C">
        <w:rPr>
          <w:rFonts w:eastAsia="SimSun"/>
          <w:kern w:val="24"/>
          <w:lang w:eastAsia="zh-TW"/>
        </w:rPr>
        <w:t>(</w:t>
      </w:r>
      <w:r w:rsidRPr="00795890">
        <w:rPr>
          <w:rFonts w:eastAsia="SimSun"/>
          <w:kern w:val="24"/>
          <w:lang w:eastAsia="zh-TW"/>
        </w:rPr>
        <w:t>β</w:t>
      </w:r>
      <w:r w:rsidR="00BC4DD4">
        <w:rPr>
          <w:rFonts w:eastAsia="SimSun"/>
          <w:kern w:val="24"/>
          <w:lang w:eastAsia="zh-TW"/>
        </w:rPr>
        <w:t xml:space="preserve"> </w:t>
      </w:r>
      <w:r w:rsidRPr="00795890">
        <w:rPr>
          <w:rFonts w:eastAsia="SimSun"/>
          <w:kern w:val="24"/>
          <w:lang w:eastAsia="zh-TW"/>
        </w:rPr>
        <w:t>=</w:t>
      </w:r>
      <w:r w:rsidR="00BC4DD4">
        <w:rPr>
          <w:rFonts w:eastAsia="SimSun"/>
          <w:kern w:val="24"/>
          <w:lang w:eastAsia="zh-TW"/>
        </w:rPr>
        <w:t xml:space="preserve"> </w:t>
      </w:r>
      <w:r w:rsidR="00924C2C">
        <w:rPr>
          <w:rFonts w:eastAsia="SimSun"/>
          <w:kern w:val="24"/>
          <w:lang w:eastAsia="zh-TW"/>
        </w:rPr>
        <w:t>0.275</w:t>
      </w:r>
      <w:r w:rsidRPr="00795890">
        <w:rPr>
          <w:rFonts w:eastAsia="SimSun"/>
          <w:kern w:val="24"/>
          <w:lang w:eastAsia="zh-TW"/>
        </w:rPr>
        <w:t xml:space="preserve">; </w:t>
      </w:r>
      <w:r w:rsidRPr="00BC4DD4">
        <w:rPr>
          <w:rFonts w:eastAsia="SimSun"/>
          <w:i/>
          <w:kern w:val="24"/>
          <w:lang w:eastAsia="zh-TW"/>
        </w:rPr>
        <w:t>p</w:t>
      </w:r>
      <w:r w:rsidR="00924C2C">
        <w:rPr>
          <w:rFonts w:eastAsia="SimSun"/>
          <w:kern w:val="24"/>
          <w:lang w:eastAsia="zh-TW"/>
        </w:rPr>
        <w:t xml:space="preserve"> &lt; 0.0</w:t>
      </w:r>
      <w:r w:rsidR="00FC313E">
        <w:rPr>
          <w:rFonts w:eastAsia="SimSun"/>
          <w:kern w:val="24"/>
          <w:lang w:eastAsia="zh-TW"/>
        </w:rPr>
        <w:t>0</w:t>
      </w:r>
      <w:r w:rsidR="00924C2C">
        <w:rPr>
          <w:rFonts w:eastAsia="SimSun"/>
          <w:kern w:val="24"/>
          <w:lang w:eastAsia="zh-TW"/>
        </w:rPr>
        <w:t>1</w:t>
      </w:r>
      <w:r w:rsidRPr="00795890">
        <w:rPr>
          <w:rFonts w:eastAsia="SimSun"/>
          <w:kern w:val="24"/>
          <w:lang w:eastAsia="zh-TW"/>
        </w:rPr>
        <w:t xml:space="preserve">). </w:t>
      </w:r>
      <w:r w:rsidRPr="006F46FD">
        <w:t>The</w:t>
      </w:r>
      <w:r w:rsidR="007A46A5">
        <w:t xml:space="preserve"> </w:t>
      </w:r>
      <w:r w:rsidR="00C763B0" w:rsidRPr="00C763B0">
        <w:rPr>
          <w:rFonts w:eastAsia="SimSun"/>
          <w:kern w:val="24"/>
          <w:lang w:eastAsia="zh-TW"/>
        </w:rPr>
        <w:t xml:space="preserve">Cragg–Donald </w:t>
      </w:r>
      <w:r w:rsidR="007A46A5">
        <w:t>Wald</w:t>
      </w:r>
      <w:r w:rsidRPr="006F46FD">
        <w:t xml:space="preserve"> </w:t>
      </w:r>
      <w:r w:rsidRPr="006F46FD">
        <w:rPr>
          <w:i/>
        </w:rPr>
        <w:t>F</w:t>
      </w:r>
      <w:r w:rsidRPr="006F46FD">
        <w:t>-statistic</w:t>
      </w:r>
      <w:r w:rsidR="00267956">
        <w:t xml:space="preserve"> takes the value of </w:t>
      </w:r>
      <w:r w:rsidR="00665CD6">
        <w:t>205.</w:t>
      </w:r>
      <w:r w:rsidR="00665CD6" w:rsidRPr="00225340">
        <w:t>34</w:t>
      </w:r>
      <w:r w:rsidR="00665CD6" w:rsidRPr="00642384">
        <w:t xml:space="preserve"> and thus rejects the null hypothesis of weak model identification (i.e., that</w:t>
      </w:r>
      <w:r w:rsidR="00665CD6" w:rsidRPr="00225340">
        <w:t xml:space="preserve"> </w:t>
      </w:r>
      <w:r w:rsidR="00665CD6" w:rsidRPr="00665CD6">
        <w:t>the instrument explain</w:t>
      </w:r>
      <w:r w:rsidR="00151B1B">
        <w:t>s</w:t>
      </w:r>
      <w:r w:rsidR="00665CD6" w:rsidRPr="00665CD6">
        <w:t xml:space="preserve"> only a small part of the variance in the endogenous regressor</w:t>
      </w:r>
      <w:r w:rsidR="00665CD6">
        <w:t>),</w:t>
      </w:r>
      <w:r w:rsidR="00665CD6" w:rsidRPr="00665CD6">
        <w:t xml:space="preserve"> </w:t>
      </w:r>
      <w:r w:rsidR="00267956" w:rsidRPr="00642384">
        <w:t>indicating sufficiently strong instruments</w:t>
      </w:r>
      <w:r w:rsidR="008D0B4A" w:rsidRPr="00642384">
        <w:t xml:space="preserve"> </w:t>
      </w:r>
      <w:r w:rsidR="00E079C2" w:rsidRPr="00E079C2">
        <w:fldChar w:fldCharType="begin" w:fldLock="1"/>
      </w:r>
      <w:r w:rsidR="00814EAA">
        <w:instrText>ADDIN CSL_CITATION {"citationItems":[{"id":"ITEM-1","itemData":{"DOI":"10.2307/2171753","ISSN":"00129682","abstract":"This paper develops asymptotic distribution theory for single-equation instrumental variables regression when the partial correlations between the instruments and the endogenous variables are weak, here modeled as local to zero. Asymptotic representations are provided for various statistics, including two-stage least squares (TSLS) and limited information maximum likelihood (LIML) estimators, Wald statistics, and statistics testing overidentification and endogeneity. The asymptotic distributions are found to provide good approximations to sampling distributions with 10-20 observations per instrument. The theory suggests concrete guidelines for applied work, including using nonstandard methods for construction of confidence regions. These results are used to interpret Angrist and Krueger's (1991) estimates of the returns to education: whereas TSLS estimates with many instruments approach the OLS estimate of 6%, the more reliable LIML estimates with fewer instruments fall between 8% and 10%, with a typical 95% confidence","author":[{"dropping-particle":"","family":"Staiger","given":"Douglas","non-dropping-particle":"","parse-names":false,"suffix":""},{"dropping-particle":"","family":"Stock","given":"James H.","non-dropping-particle":"","parse-names":false,"suffix":""}],"container-title":"Econometrica","id":"ITEM-1","issue":"3","issued":{"date-parts":[["1997","5"]]},"page":"557","publisher":"JSTOR","title":"Instrumental variables regression with weak instruments","type":"article-journal","volume":"65"},"uris":["http://www.mendeley.com/documents/?uuid=da04630c-c863-38ce-83ee-c1e2f833db5c"]},{"id":"ITEM-2","itemData":{"DOI":"10.2307/2291055","ISSN":"01621459","abstract":"We draw attention to two problems associated with the use of instrumental variables (IV), the importance of which for empirical work has not been fully appreciated. First, the use of instruments that explain little of the variation in the endogenous explanatory variables can lead to large inconsistencies in the IV estimates even if only a weak relationship exists between the instruments and the error in the structural equation. Second, in finite samples, IV estimates are biased in the same direction as ordinary least squares (OLS) estimates. The magnitude of the bias of IV estimates approaches that of OLS estimates as the R2 between the instruments and the endogenous explanatory variable approaches 0. To illustrate these problems, we reexamine the results of a recent paper by Angrist and Krueger, who used large samples from the U.S. Census to estimate wage equations in which quarter of birth is used as an instrument for educational attainment. We find evidence that, despite huge sample sizes, their IV estimates may suffer from finite- sample bias and may be inconsistent as well. These findings suggest that valid instruments may be more difficult to find than previously imagined. They also indicate that the use of large data sets does not necessarily insulate researchers from quantitatively important finite-sample biases. We suggest that the partial R2 and the F statistic of the identifying instruments in the first-stage estimation are useful indicators of the quality of the IV estimates and should be routinely reported","author":[{"dropping-particle":"","family":"Bound","given":"John","non-dropping-particle":"","parse-names":false,"suffix":""},{"dropping-particle":"","family":"Jaeger","given":"David A.","non-dropping-particle":"","parse-names":false,"suffix":""},{"dropping-particle":"","family":"Baker","given":"Regina M.","non-dropping-particle":"","parse-names":false,"suffix":""}],"container-title":"Journal of the American Statistical Association","id":"ITEM-2","issue":"430","issued":{"date-parts":[["1995","6"]]},"page":"443","publisher":"JSTOR","title":"Problems with instrumental variables estimation when the correlation between the instruments and the endogeneous explanatory variable is weak","type":"article-journal","volume":"90"},"uris":["http://www.mendeley.com/documents/?uuid=22a8f0f3-dc8c-3a89-839b-b57b4cafc54b"]}],"mendeley":{"formattedCitation":"(Bound, Jaeger, &amp; Baker, 1995; Staiger &amp; Stock, 1997)","plainTextFormattedCitation":"(Bound, Jaeger, &amp; Baker, 1995; Staiger &amp; Stock, 1997)","previouslyFormattedCitation":"(Bound, Jaeger, &amp; Baker, 1995; Staiger &amp; Stock, 1997)"},"properties":{"noteIndex":0},"schema":"https://github.com/citation-style-language/schema/raw/master/csl-citation.json"}</w:instrText>
      </w:r>
      <w:r w:rsidR="00E079C2" w:rsidRPr="00E079C2">
        <w:fldChar w:fldCharType="separate"/>
      </w:r>
      <w:r w:rsidR="00814EAA" w:rsidRPr="00814EAA">
        <w:rPr>
          <w:noProof/>
        </w:rPr>
        <w:t>(Bound, Jaeger, &amp; Baker, 1995; Staiger &amp; Stock, 1997)</w:t>
      </w:r>
      <w:r w:rsidR="00E079C2" w:rsidRPr="00E079C2">
        <w:fldChar w:fldCharType="end"/>
      </w:r>
      <w:r w:rsidR="00665CD6" w:rsidRPr="00EE1D76">
        <w:rPr>
          <w:rStyle w:val="FootnoteReference"/>
        </w:rPr>
        <w:footnoteReference w:id="11"/>
      </w:r>
      <w:r w:rsidR="00E079C2" w:rsidRPr="00955805">
        <w:t xml:space="preserve">. </w:t>
      </w:r>
    </w:p>
    <w:p w14:paraId="499E9063" w14:textId="317031E7" w:rsidR="00955805" w:rsidRPr="008F56B9" w:rsidRDefault="00C6085C" w:rsidP="008F56B9">
      <w:pPr>
        <w:spacing w:before="360"/>
        <w:rPr>
          <w:rFonts w:eastAsia="SimSun"/>
          <w:kern w:val="24"/>
          <w:lang w:eastAsia="zh-TW"/>
        </w:rPr>
      </w:pPr>
      <w:r w:rsidRPr="00C6085C">
        <w:rPr>
          <w:lang w:eastAsia="zh-TW"/>
        </w:rPr>
        <w:lastRenderedPageBreak/>
        <w:t>Second-stage results corroborate the bas</w:t>
      </w:r>
      <w:r w:rsidR="008B3BE5">
        <w:rPr>
          <w:lang w:eastAsia="zh-TW"/>
        </w:rPr>
        <w:t>eline</w:t>
      </w:r>
      <w:r w:rsidRPr="00C6085C">
        <w:rPr>
          <w:lang w:eastAsia="zh-TW"/>
        </w:rPr>
        <w:t xml:space="preserve"> results from Table </w:t>
      </w:r>
      <w:r w:rsidR="00267956">
        <w:rPr>
          <w:lang w:eastAsia="zh-TW"/>
        </w:rPr>
        <w:t>4</w:t>
      </w:r>
      <w:r w:rsidRPr="00C6085C">
        <w:rPr>
          <w:lang w:eastAsia="zh-TW"/>
        </w:rPr>
        <w:t xml:space="preserve">, as the </w:t>
      </w:r>
      <w:r w:rsidR="00267956">
        <w:rPr>
          <w:lang w:eastAsia="zh-TW"/>
        </w:rPr>
        <w:t>coefficient of female star</w:t>
      </w:r>
      <w:r w:rsidRPr="00C6085C">
        <w:rPr>
          <w:lang w:eastAsia="zh-TW"/>
        </w:rPr>
        <w:t xml:space="preserve"> is </w:t>
      </w:r>
      <w:r w:rsidR="00267956">
        <w:rPr>
          <w:lang w:eastAsia="zh-TW"/>
        </w:rPr>
        <w:t>positive</w:t>
      </w:r>
      <w:r w:rsidRPr="00C6085C">
        <w:rPr>
          <w:lang w:eastAsia="zh-TW"/>
        </w:rPr>
        <w:t xml:space="preserve"> and significant (</w:t>
      </w:r>
      <w:r w:rsidRPr="00BC4DD4">
        <w:rPr>
          <w:i/>
          <w:lang w:eastAsia="zh-TW"/>
        </w:rPr>
        <w:t>β</w:t>
      </w:r>
      <w:r w:rsidR="00BC4DD4">
        <w:rPr>
          <w:lang w:eastAsia="zh-TW"/>
        </w:rPr>
        <w:t xml:space="preserve"> </w:t>
      </w:r>
      <w:r w:rsidRPr="00267956">
        <w:rPr>
          <w:lang w:eastAsia="zh-TW"/>
        </w:rPr>
        <w:t xml:space="preserve">= </w:t>
      </w:r>
      <w:r w:rsidR="00924C2C">
        <w:rPr>
          <w:lang w:eastAsia="zh-TW"/>
        </w:rPr>
        <w:t>0.596</w:t>
      </w:r>
      <w:r w:rsidRPr="00267956">
        <w:rPr>
          <w:lang w:eastAsia="zh-TW"/>
        </w:rPr>
        <w:t xml:space="preserve">; </w:t>
      </w:r>
      <w:r w:rsidRPr="00BC4DD4">
        <w:rPr>
          <w:i/>
          <w:lang w:eastAsia="zh-TW"/>
        </w:rPr>
        <w:t>p</w:t>
      </w:r>
      <w:r w:rsidR="00924C2C">
        <w:rPr>
          <w:lang w:eastAsia="zh-TW"/>
        </w:rPr>
        <w:t xml:space="preserve"> &lt; 0.01</w:t>
      </w:r>
      <w:r w:rsidRPr="00267956">
        <w:rPr>
          <w:lang w:eastAsia="zh-TW"/>
        </w:rPr>
        <w:t xml:space="preserve">). </w:t>
      </w:r>
      <w:r w:rsidR="007C2111">
        <w:rPr>
          <w:rFonts w:eastAsia="SimSun"/>
          <w:kern w:val="24"/>
          <w:lang w:eastAsia="zh-TW"/>
        </w:rPr>
        <w:t xml:space="preserve">The size of the coefficient in the second stage </w:t>
      </w:r>
      <w:r w:rsidR="007C2111" w:rsidRPr="00267956">
        <w:rPr>
          <w:lang w:eastAsia="zh-TW"/>
        </w:rPr>
        <w:t>of the instrumental variable regression is larger</w:t>
      </w:r>
      <w:r w:rsidR="007C2111">
        <w:rPr>
          <w:lang w:eastAsia="zh-TW"/>
        </w:rPr>
        <w:t xml:space="preserve"> than in the OLS regression. This change in the coefficient size can be attributed to the use of a </w:t>
      </w:r>
      <w:r w:rsidR="007C2111" w:rsidRPr="00267956">
        <w:rPr>
          <w:lang w:eastAsia="zh-TW"/>
        </w:rPr>
        <w:t>continuous instrumental variable to instrument a binary endogenous variable</w:t>
      </w:r>
      <w:r w:rsidR="007C2111">
        <w:rPr>
          <w:lang w:eastAsia="zh-TW"/>
        </w:rPr>
        <w:t>. A</w:t>
      </w:r>
      <w:r w:rsidR="007C2111" w:rsidRPr="00267956">
        <w:rPr>
          <w:lang w:eastAsia="zh-TW"/>
        </w:rPr>
        <w:t xml:space="preserve">s the instrumented variable represents the probability of having a female </w:t>
      </w:r>
      <w:r w:rsidR="007C2111">
        <w:rPr>
          <w:lang w:eastAsia="zh-TW"/>
        </w:rPr>
        <w:t>star</w:t>
      </w:r>
      <w:r w:rsidR="007C2111" w:rsidRPr="00267956">
        <w:rPr>
          <w:lang w:eastAsia="zh-TW"/>
        </w:rPr>
        <w:t xml:space="preserve"> (not a</w:t>
      </w:r>
      <w:r w:rsidR="007C2111">
        <w:rPr>
          <w:lang w:eastAsia="zh-TW"/>
        </w:rPr>
        <w:t xml:space="preserve"> </w:t>
      </w:r>
      <w:r w:rsidR="007C2111" w:rsidRPr="00267956">
        <w:rPr>
          <w:lang w:eastAsia="zh-TW"/>
        </w:rPr>
        <w:t>dummy)</w:t>
      </w:r>
      <w:r w:rsidR="007C2111">
        <w:rPr>
          <w:lang w:eastAsia="zh-TW"/>
        </w:rPr>
        <w:t xml:space="preserve">, </w:t>
      </w:r>
      <w:r w:rsidR="007C2111" w:rsidRPr="00267956">
        <w:rPr>
          <w:lang w:eastAsia="zh-TW"/>
        </w:rPr>
        <w:t>the interpretation of the coefficient size has changed</w:t>
      </w:r>
      <w:r w:rsidR="007C2111">
        <w:rPr>
          <w:lang w:eastAsia="zh-TW"/>
        </w:rPr>
        <w:t>.</w:t>
      </w:r>
      <w:r w:rsidRPr="00267956">
        <w:rPr>
          <w:lang w:eastAsia="zh-TW"/>
        </w:rPr>
        <w:t>)</w:t>
      </w:r>
      <w:r w:rsidR="00955805">
        <w:rPr>
          <w:lang w:eastAsia="zh-TW"/>
        </w:rPr>
        <w:t xml:space="preserve">. Overall, the IV regression confirms our main results. </w:t>
      </w:r>
    </w:p>
    <w:p w14:paraId="3B61837D" w14:textId="07CA0215" w:rsidR="00203515" w:rsidRDefault="00094E07" w:rsidP="005A2721">
      <w:r w:rsidRPr="002549E5">
        <w:rPr>
          <w:b/>
          <w:i/>
        </w:rPr>
        <w:t>Sample selection bias.</w:t>
      </w:r>
      <w:r>
        <w:t xml:space="preserve"> </w:t>
      </w:r>
      <w:r w:rsidR="0047166D">
        <w:t xml:space="preserve">Employing </w:t>
      </w:r>
      <w:r w:rsidR="00197830">
        <w:t>a matching technique increases the balance between treatment and control units</w:t>
      </w:r>
      <w:r>
        <w:t xml:space="preserve"> in the later analyses but might also introduce bias by focusing on a very special set of observations. In our analysis</w:t>
      </w:r>
      <w:r w:rsidR="0066460E">
        <w:t>,</w:t>
      </w:r>
      <w:r>
        <w:t xml:space="preserve"> we use approximately </w:t>
      </w:r>
      <w:r w:rsidR="000167D5">
        <w:t>27</w:t>
      </w:r>
      <w:r>
        <w:t>,000</w:t>
      </w:r>
      <w:r w:rsidR="008B4E4F">
        <w:t xml:space="preserve"> (</w:t>
      </w:r>
      <w:r w:rsidR="000167D5">
        <w:t>49</w:t>
      </w:r>
      <w:r w:rsidR="008B4E4F">
        <w:t>%)</w:t>
      </w:r>
      <w:r>
        <w:t xml:space="preserve"> of </w:t>
      </w:r>
      <w:r w:rsidR="006E61F3">
        <w:t>about</w:t>
      </w:r>
      <w:r>
        <w:t xml:space="preserve"> </w:t>
      </w:r>
      <w:r w:rsidR="006E61F3">
        <w:t>55</w:t>
      </w:r>
      <w:r>
        <w:t>,000 patents which would theoretically qualify for the analysis.</w:t>
      </w:r>
      <w:r w:rsidR="00037FA8">
        <w:t xml:space="preserve"> Even one step earlier, in the gender designation process, we lose roughly 15% of observations because the stars’ gender cannot be determined accurately (see Appendix </w:t>
      </w:r>
      <w:r w:rsidR="00970B03">
        <w:t>1</w:t>
      </w:r>
      <w:r w:rsidR="00037FA8">
        <w:t>).</w:t>
      </w:r>
      <w:r>
        <w:t xml:space="preserve"> To address potential concerns that our</w:t>
      </w:r>
      <w:r w:rsidR="00C415B5">
        <w:t xml:space="preserve"> final</w:t>
      </w:r>
      <w:r w:rsidR="00037FA8">
        <w:t xml:space="preserve"> </w:t>
      </w:r>
      <w:r w:rsidR="00C415B5">
        <w:t>sample is</w:t>
      </w:r>
      <w:r>
        <w:t xml:space="preserve"> </w:t>
      </w:r>
      <w:r w:rsidR="00037FA8">
        <w:t>not representative</w:t>
      </w:r>
      <w:r w:rsidR="00970B03">
        <w:t>,</w:t>
      </w:r>
      <w:r w:rsidR="00037FA8">
        <w:t xml:space="preserve"> we estimate a </w:t>
      </w:r>
      <w:proofErr w:type="spellStart"/>
      <w:r w:rsidR="00037FA8">
        <w:t>probit</w:t>
      </w:r>
      <w:proofErr w:type="spellEnd"/>
      <w:r w:rsidR="00037FA8">
        <w:t xml:space="preserve"> model </w:t>
      </w:r>
      <w:r w:rsidR="00AC356E">
        <w:t xml:space="preserve">that predicts an </w:t>
      </w:r>
      <w:r w:rsidR="007C2111">
        <w:t xml:space="preserve">inventor team’s </w:t>
      </w:r>
      <w:r w:rsidR="00AC356E">
        <w:t>likelihood to end up in the final sample</w:t>
      </w:r>
      <w:r w:rsidR="00821299">
        <w:t xml:space="preserve"> based on its characteristics</w:t>
      </w:r>
      <w:r w:rsidR="00AC356E">
        <w:t>.</w:t>
      </w:r>
      <w:r w:rsidR="00037FA8">
        <w:t xml:space="preserve"> Model A4.1 in Appendix 4 shows that </w:t>
      </w:r>
      <w:r w:rsidR="00B34C95">
        <w:t xml:space="preserve">the </w:t>
      </w:r>
      <w:r w:rsidR="007C2111">
        <w:t xml:space="preserve">inventor teams </w:t>
      </w:r>
      <w:r w:rsidR="00B34C95">
        <w:t>we analyze are</w:t>
      </w:r>
      <w:r w:rsidR="00037FA8">
        <w:t xml:space="preserve">, on average, </w:t>
      </w:r>
      <w:r w:rsidR="007C2111">
        <w:t>smaller with</w:t>
      </w:r>
      <w:r w:rsidR="00037FA8">
        <w:t xml:space="preserve"> a lower share of female inventors but a higher level of inventive performance</w:t>
      </w:r>
      <w:r w:rsidR="00B34C95">
        <w:t xml:space="preserve"> as compared to </w:t>
      </w:r>
      <w:r w:rsidR="007C2111">
        <w:t xml:space="preserve">inventor teams </w:t>
      </w:r>
      <w:r w:rsidR="00407960">
        <w:t>which</w:t>
      </w:r>
      <w:r w:rsidR="00B34C95">
        <w:t xml:space="preserve"> are not included</w:t>
      </w:r>
      <w:r w:rsidR="00037FA8">
        <w:t>.</w:t>
      </w:r>
      <w:r w:rsidR="00BD6F40">
        <w:t xml:space="preserve"> While there is no difference in terms of star characteristics between these </w:t>
      </w:r>
      <w:r w:rsidR="00037FA8">
        <w:t>teams</w:t>
      </w:r>
      <w:r w:rsidR="00BC4DD4">
        <w:t>,</w:t>
      </w:r>
      <w:r w:rsidR="00037FA8">
        <w:t xml:space="preserve"> the related patents tend to have more claims, </w:t>
      </w:r>
      <w:r w:rsidR="00B34C95">
        <w:t xml:space="preserve">more </w:t>
      </w:r>
      <w:r w:rsidR="00037FA8">
        <w:t xml:space="preserve">backward citations and </w:t>
      </w:r>
      <w:r w:rsidR="00B34C95">
        <w:t xml:space="preserve">more </w:t>
      </w:r>
      <w:r w:rsidR="00037FA8">
        <w:t>applicants, on average.</w:t>
      </w:r>
      <w:r w:rsidR="00B34C95">
        <w:t xml:space="preserve"> Most of these differences</w:t>
      </w:r>
      <w:r w:rsidR="00821299">
        <w:t xml:space="preserve"> are small and</w:t>
      </w:r>
      <w:r w:rsidR="00B34C95">
        <w:t xml:space="preserve"> can be explained by the employed matching approach which</w:t>
      </w:r>
      <w:r w:rsidR="00937021">
        <w:t>,</w:t>
      </w:r>
      <w:r w:rsidR="00B34C95">
        <w:t xml:space="preserve"> by construction</w:t>
      </w:r>
      <w:r w:rsidR="00937021">
        <w:t>,</w:t>
      </w:r>
      <w:r w:rsidR="00B34C95">
        <w:t xml:space="preserve"> changed the composition of patents in the sample.</w:t>
      </w:r>
      <w:r w:rsidR="00407960">
        <w:t xml:space="preserve"> For example,</w:t>
      </w:r>
      <w:r w:rsidR="00821299">
        <w:t xml:space="preserve"> many</w:t>
      </w:r>
      <w:r w:rsidR="00407960">
        <w:t xml:space="preserve"> older patents and patents from fields with only male stars </w:t>
      </w:r>
      <w:r w:rsidR="00821299">
        <w:t>could not be matched</w:t>
      </w:r>
      <w:r w:rsidR="00407960">
        <w:t>.</w:t>
      </w:r>
      <w:r w:rsidR="00B34C95">
        <w:t xml:space="preserve"> </w:t>
      </w:r>
      <w:r w:rsidR="00BD6F40">
        <w:t>T</w:t>
      </w:r>
      <w:r w:rsidR="00B34C95">
        <w:t>o ensure that our findings are generalizable</w:t>
      </w:r>
      <w:r w:rsidR="00CF608B">
        <w:t>,</w:t>
      </w:r>
      <w:r>
        <w:t xml:space="preserve"> </w:t>
      </w:r>
      <w:r w:rsidR="00EC3B7A">
        <w:t xml:space="preserve">we </w:t>
      </w:r>
      <w:r>
        <w:t>rerun the analys</w:t>
      </w:r>
      <w:r w:rsidR="0066460E">
        <w:t>i</w:t>
      </w:r>
      <w:r>
        <w:t>s on the full sample</w:t>
      </w:r>
      <w:r w:rsidR="00B34C95">
        <w:t xml:space="preserve"> for which the gender of the star is available</w:t>
      </w:r>
      <w:r>
        <w:t>. As shown in</w:t>
      </w:r>
      <w:r w:rsidR="00E746AB">
        <w:t xml:space="preserve"> </w:t>
      </w:r>
      <w:r w:rsidR="005B3D56">
        <w:t>Model A</w:t>
      </w:r>
      <w:r w:rsidR="00B34C95">
        <w:t>5</w:t>
      </w:r>
      <w:r w:rsidR="005B3D56">
        <w:t>.1</w:t>
      </w:r>
      <w:r w:rsidR="00E746AB">
        <w:t xml:space="preserve"> in</w:t>
      </w:r>
      <w:r>
        <w:t xml:space="preserve"> Appendix </w:t>
      </w:r>
      <w:r w:rsidR="00B34C95">
        <w:t>5</w:t>
      </w:r>
      <w:r>
        <w:t>,</w:t>
      </w:r>
      <w:r w:rsidR="00870890">
        <w:t xml:space="preserve"> which summarizes the robustness checks,</w:t>
      </w:r>
      <w:r>
        <w:t xml:space="preserve"> </w:t>
      </w:r>
      <w:r>
        <w:lastRenderedPageBreak/>
        <w:t xml:space="preserve">the findings </w:t>
      </w:r>
      <w:r w:rsidR="007B0BFB">
        <w:t>remain stable</w:t>
      </w:r>
      <w:r w:rsidR="00754A26">
        <w:t>. W</w:t>
      </w:r>
      <w:r w:rsidR="007B0BFB">
        <w:t>e are</w:t>
      </w:r>
      <w:r w:rsidR="00C5303A">
        <w:t>,</w:t>
      </w:r>
      <w:r>
        <w:t xml:space="preserve"> thus</w:t>
      </w:r>
      <w:r w:rsidR="00C5303A">
        <w:t>,</w:t>
      </w:r>
      <w:r>
        <w:t xml:space="preserve"> confident </w:t>
      </w:r>
      <w:r w:rsidR="00407960">
        <w:t>that s</w:t>
      </w:r>
      <w:r>
        <w:t>ample selection bias introduced via the matching approach is not an issue</w:t>
      </w:r>
      <w:r w:rsidR="007B0BFB">
        <w:t xml:space="preserve"> and that our findings generalize to the broader population of inventor teams</w:t>
      </w:r>
      <w:r>
        <w:t>.</w:t>
      </w:r>
      <w:r w:rsidR="00203515">
        <w:t xml:space="preserve"> </w:t>
      </w:r>
      <w:r w:rsidR="00B34C95">
        <w:t>W</w:t>
      </w:r>
      <w:r w:rsidR="00203515">
        <w:t>e</w:t>
      </w:r>
      <w:r w:rsidR="00B34C95">
        <w:t xml:space="preserve"> also</w:t>
      </w:r>
      <w:r w:rsidR="00203515">
        <w:t xml:space="preserve"> </w:t>
      </w:r>
      <w:r w:rsidR="00B91412">
        <w:t xml:space="preserve">obtain similar results </w:t>
      </w:r>
      <w:r w:rsidR="00203515">
        <w:t xml:space="preserve">with </w:t>
      </w:r>
      <w:r w:rsidR="00B91412">
        <w:t xml:space="preserve">different numbers of </w:t>
      </w:r>
      <w:r w:rsidR="00D525EC">
        <w:t>categories</w:t>
      </w:r>
      <w:r w:rsidR="00B91412">
        <w:t xml:space="preserve"> and thresholds</w:t>
      </w:r>
      <w:r w:rsidR="00203515">
        <w:t xml:space="preserve"> used for coarsening the matching variables</w:t>
      </w:r>
      <w:r w:rsidR="00B91412">
        <w:t xml:space="preserve"> in </w:t>
      </w:r>
      <w:r w:rsidR="00BC4DD4">
        <w:t xml:space="preserve">the </w:t>
      </w:r>
      <w:r w:rsidR="00B91412">
        <w:t>CEM</w:t>
      </w:r>
      <w:r w:rsidR="00BC4DD4">
        <w:t xml:space="preserve"> procedure.</w:t>
      </w:r>
    </w:p>
    <w:p w14:paraId="028E082E" w14:textId="23B1274B" w:rsidR="00F373F8" w:rsidRDefault="00AF136E" w:rsidP="00F373F8">
      <w:bookmarkStart w:id="7" w:name="_Hlk56679490"/>
      <w:r w:rsidRPr="002549E5">
        <w:rPr>
          <w:b/>
          <w:i/>
        </w:rPr>
        <w:t>Mechanism.</w:t>
      </w:r>
      <w:r>
        <w:t xml:space="preserve"> Our main argument for the hypothesized positive effect of female stars </w:t>
      </w:r>
      <w:r w:rsidR="00F373F8">
        <w:t xml:space="preserve">on the recombination of knowledge </w:t>
      </w:r>
      <w:r>
        <w:t xml:space="preserve">rests on the assumption that </w:t>
      </w:r>
      <w:r w:rsidR="0045017E">
        <w:t>the integration</w:t>
      </w:r>
      <w:r w:rsidRPr="00AF136E">
        <w:t xml:space="preserve"> </w:t>
      </w:r>
      <w:r w:rsidR="006345BC">
        <w:t xml:space="preserve">of knowledge </w:t>
      </w:r>
      <w:r>
        <w:t>in teams</w:t>
      </w:r>
      <w:r w:rsidRPr="00AF136E">
        <w:t xml:space="preserve"> </w:t>
      </w:r>
      <w:r>
        <w:t xml:space="preserve">(where teams with female stars are likely to have an edge over teams with male stars) is more important than </w:t>
      </w:r>
      <w:r w:rsidR="00164B10">
        <w:t>the</w:t>
      </w:r>
      <w:r>
        <w:t xml:space="preserve"> availability</w:t>
      </w:r>
      <w:r w:rsidR="00164B10">
        <w:t xml:space="preserve"> of knowledge</w:t>
      </w:r>
      <w:r>
        <w:t xml:space="preserve"> (where teams with female stars are likely to be disadvantaged). </w:t>
      </w:r>
      <w:r w:rsidRPr="00AF136E">
        <w:t xml:space="preserve">Unfortunately, </w:t>
      </w:r>
      <w:r w:rsidR="009667F0">
        <w:t>our data does not allow us to</w:t>
      </w:r>
      <w:r w:rsidRPr="00AF136E">
        <w:t xml:space="preserve"> </w:t>
      </w:r>
      <w:r w:rsidR="000575A8">
        <w:t xml:space="preserve">unequivocally </w:t>
      </w:r>
      <w:r w:rsidR="00037553">
        <w:t>test and establish</w:t>
      </w:r>
      <w:r w:rsidRPr="00AF136E">
        <w:t xml:space="preserve"> mechanism</w:t>
      </w:r>
      <w:r w:rsidR="00037553">
        <w:t>s</w:t>
      </w:r>
      <w:r w:rsidR="00774307">
        <w:t>.</w:t>
      </w:r>
      <w:r w:rsidRPr="00AF136E">
        <w:t xml:space="preserve"> </w:t>
      </w:r>
      <w:r w:rsidR="000575A8">
        <w:t>Nevertheless, we attempt t</w:t>
      </w:r>
      <w:r w:rsidRPr="00AF136E">
        <w:t>o</w:t>
      </w:r>
      <w:r w:rsidR="000575A8">
        <w:t xml:space="preserve"> </w:t>
      </w:r>
      <w:r w:rsidRPr="00AF136E">
        <w:t xml:space="preserve">provide </w:t>
      </w:r>
      <w:r w:rsidR="005B3D56">
        <w:t>suggestive</w:t>
      </w:r>
      <w:r w:rsidR="00774307">
        <w:t xml:space="preserve"> </w:t>
      </w:r>
      <w:r w:rsidRPr="00AF136E">
        <w:t xml:space="preserve">evidence for our </w:t>
      </w:r>
      <w:r w:rsidR="000575A8">
        <w:t xml:space="preserve">theoretical </w:t>
      </w:r>
      <w:r w:rsidRPr="00AF136E">
        <w:t>argument</w:t>
      </w:r>
      <w:r w:rsidR="00774307">
        <w:t>s</w:t>
      </w:r>
      <w:r w:rsidR="000575A8">
        <w:t xml:space="preserve"> by conducting</w:t>
      </w:r>
      <w:r w:rsidR="00774307">
        <w:t xml:space="preserve"> an indirect test</w:t>
      </w:r>
      <w:r w:rsidR="000A634B">
        <w:t xml:space="preserve">. </w:t>
      </w:r>
      <w:r w:rsidR="00F373F8">
        <w:t>W</w:t>
      </w:r>
      <w:r w:rsidR="000575A8">
        <w:t>e</w:t>
      </w:r>
      <w:r w:rsidR="00774307">
        <w:t xml:space="preserve"> identify </w:t>
      </w:r>
      <w:r w:rsidR="00A20E09">
        <w:t>two</w:t>
      </w:r>
      <w:r w:rsidR="00774307">
        <w:t xml:space="preserve"> situation</w:t>
      </w:r>
      <w:r w:rsidR="00A20E09">
        <w:t>s</w:t>
      </w:r>
      <w:r w:rsidR="00774307">
        <w:t xml:space="preserve"> </w:t>
      </w:r>
      <w:r w:rsidR="00A20E09">
        <w:t>between which the relative importance of</w:t>
      </w:r>
      <w:r w:rsidR="00037553">
        <w:t xml:space="preserve"> knowledge synthesis</w:t>
      </w:r>
      <w:r w:rsidR="00A20E09">
        <w:t xml:space="preserve"> is likely to vary</w:t>
      </w:r>
      <w:r w:rsidR="0043354E">
        <w:t xml:space="preserve">, </w:t>
      </w:r>
      <w:r w:rsidR="00642384">
        <w:t>while</w:t>
      </w:r>
      <w:r w:rsidR="00261254">
        <w:t xml:space="preserve"> </w:t>
      </w:r>
      <w:r w:rsidR="000A634B">
        <w:t>the importance of</w:t>
      </w:r>
      <w:r w:rsidR="0043354E">
        <w:t xml:space="preserve"> access to external knowledge</w:t>
      </w:r>
      <w:r w:rsidR="000A634B">
        <w:t xml:space="preserve"> does not</w:t>
      </w:r>
      <w:r w:rsidR="00774307">
        <w:t>.</w:t>
      </w:r>
      <w:r w:rsidRPr="00AF136E">
        <w:t xml:space="preserve"> </w:t>
      </w:r>
      <w:r w:rsidR="00261254">
        <w:t>Specifically</w:t>
      </w:r>
      <w:r w:rsidR="00D1070B">
        <w:t>, we distinguish</w:t>
      </w:r>
      <w:r w:rsidR="00774307">
        <w:t xml:space="preserve"> between </w:t>
      </w:r>
      <w:r w:rsidR="00F373F8">
        <w:t>teams</w:t>
      </w:r>
      <w:r w:rsidR="00774307" w:rsidRPr="00774307">
        <w:t xml:space="preserve"> which have never worked </w:t>
      </w:r>
      <w:r w:rsidR="00774307">
        <w:t xml:space="preserve">together and those that have a collaboration history. </w:t>
      </w:r>
    </w:p>
    <w:p w14:paraId="6E9FC6D6" w14:textId="1E2E1727" w:rsidR="00F4130E" w:rsidRDefault="00F4130E" w:rsidP="00F4130E">
      <w:r>
        <w:t xml:space="preserve">Teams which have never worked together before might experience both a higher need for and more difficulty in </w:t>
      </w:r>
      <w:r w:rsidR="0045017E">
        <w:t>integrating</w:t>
      </w:r>
      <w:r>
        <w:t xml:space="preserve"> knowledge</w:t>
      </w:r>
      <w:r w:rsidR="00774307">
        <w:t>.</w:t>
      </w:r>
      <w:r w:rsidR="00F373F8">
        <w:t xml:space="preserve"> </w:t>
      </w:r>
      <w:r>
        <w:t>Team</w:t>
      </w:r>
      <w:r w:rsidR="00774307">
        <w:t xml:space="preserve"> members </w:t>
      </w:r>
      <w:r w:rsidR="00463ADE">
        <w:t>in newly formed teams</w:t>
      </w:r>
      <w:r w:rsidR="00DA683C">
        <w:t xml:space="preserve"> likely </w:t>
      </w:r>
      <w:r w:rsidR="00642384">
        <w:t>lack</w:t>
      </w:r>
      <w:r w:rsidR="00D1070B">
        <w:t xml:space="preserve"> established systems </w:t>
      </w:r>
      <w:r w:rsidR="00481751">
        <w:t>of organizing and exchanging knowledge</w:t>
      </w:r>
      <w:r w:rsidR="00F373F8">
        <w:t>,</w:t>
      </w:r>
      <w:r w:rsidR="00481751">
        <w:t xml:space="preserve"> which are built through a history of interaction </w:t>
      </w:r>
      <w:r w:rsidR="00481751">
        <w:fldChar w:fldCharType="begin" w:fldLock="1"/>
      </w:r>
      <w:r w:rsidR="00814EAA">
        <w:instrText>ADDIN CSL_CITATION {"citationItems":[{"id":"ITEM-1","itemData":{"DOI":"10.1287/orsc.1060.0228","abstract":"Please scroll down for article-it is on subsequent pages With 12,500 members from nearly 90 countries, INFORMS is the largest international association of operations research (O.R.) and analytics professionals and students. INFORMS provides unique networking and learning opportunities for individual professionals, and organizations of all types and sizes, to better understand and use O.R. and analytics tools and methods to transform strategic visions and achieve better outcomes. For more information on INFORMS, its publications, membership, or meetings visit I n the aftermath of catastrophic events, when plans for organized and timely response break down, impromptu groups often emerge to provide disaster relief. Much remains to be learned about the internal dynamics of these emergent response groups whose representatives may include members from organizations with relief missions; private sector organizations offering resources; and private citizens with the information, relationships, or physical and mental stamina to help. Organizational theories have the potential to contribute to a better understanding of emergent response groups and how they efficiently coordinate knowledge, people, resources, tasks, and technology, thereby substantially improving disaster response for future catastrophes. We apply one organization science theory toward better understanding of these groups-transactive memory systems theory-which is a theory about knowledge coordination in groups. Our application of this theory to emergent response groups requires extending the theory in three ways: the role of expertise in task assignment, how groups function when credibility in member expertise cannot be validated, and how expertise is coordinated. By demonstrating how transactive memory systems theory can be extended to the unique operating conditions of emergent response groups, we hope to inspire organization science researchers to accept the challenge of adapting their theories to study this important problem of our time.","author":[{"dropping-particle":"","family":"Majchrzak","given":"Ann","non-dropping-particle":"","parse-names":false,"suffix":""},{"dropping-particle":"","family":"Jarvenpaa","given":"Sirkka L","non-dropping-particle":"","parse-names":false,"suffix":""},{"dropping-particle":"","family":"Hollingshead","given":"Andrea B","non-dropping-particle":"","parse-names":false,"suffix":""}],"container-title":"Organization Science","id":"ITEM-1","issue":"1","issued":{"date-parts":[["2007"]]},"page":"147-161","title":"Coordinating Expertise Among Emergent Groups Responding to Disasters","type":"article-journal","volume":"18"},"uris":["http://www.mendeley.com/documents/?uuid=b6fee652-3bc2-3a47-a2cf-11f60884afe8"]},{"id":"ITEM-2","itemData":{"DOI":"10.1287/orsc.2017.1176","ISSN":"1047-7039","abstract":"We theorize that the effect of membership turnover on group processes and performance depends on a group's communication network. We describe two mechanisms through which communication networks affect group performance: (1) the number of direct communication paths and (2) the clarity of the coordination logic. These mechanisms map onto two network dimensions: density, which affects a group's behavior through the number of available communication paths, and centralization, which affects a group's behavior through the clarity of the coordination logic.We empirically analyze the effects of turnover on the performance of fully connected all-channel networks and huband- spoke or wheel networks in an experiment of 109 four-person groups performing two collaborative problem-solving tasks. The greater number of direct communication paths enabled fully connected groups with stable membership to develop stronger transactive memory systems (TMSs) and performbetter than fully connected groups that experienced turnover. By contrast, the clear coordination logic of perfectly centralized groups that experienced turnover facilitated more frequent dyadic communication, which enabled them to strengthen their TMSs, incorporate the contributions of new members, and improve their performance. Thus, our results indicate that communication networks condition the effect of membership turnover on group processes and performance.","author":[{"dropping-particle":"","family":"Argote","given":"Linda","non-dropping-particle":"","parse-names":false,"suffix":""},{"dropping-particle":"","family":"Aven","given":"Brandy L.","non-dropping-particle":"","parse-names":false,"suffix":""},{"dropping-particle":"","family":"Kush","given":"Jonathan","non-dropping-particle":"","parse-names":false,"suffix":""}],"container-title":"Organization Science","id":"ITEM-2","issue":"2","issued":{"date-parts":[["2018","4","1"]]},"page":"191-206","publisher":"INFORMS Inst.for Operations Res.and the Management Sciences","title":"The effects of communication networks and turnover on transactive memory and group performance","type":"article-journal","volume":"29"},"uris":["http://www.mendeley.com/documents/?uuid=2aa0d637-fdd5-3f0d-bf69-9457ae7ac1db"]}],"mendeley":{"formattedCitation":"(Argote, Aven, &amp; Kush, 2018; Majchrzak, Jarvenpaa, &amp; Hollingshead, 2007)","plainTextFormattedCitation":"(Argote, Aven, &amp; Kush, 2018; Majchrzak, Jarvenpaa, &amp; Hollingshead, 2007)","previouslyFormattedCitation":"(Argote, Aven, &amp; Kush, 2018; Majchrzak, Jarvenpaa, &amp; Hollingshead, 2007)"},"properties":{"noteIndex":0},"schema":"https://github.com/citation-style-language/schema/raw/master/csl-citation.json"}</w:instrText>
      </w:r>
      <w:r w:rsidR="00481751">
        <w:fldChar w:fldCharType="separate"/>
      </w:r>
      <w:r w:rsidR="00814EAA" w:rsidRPr="00814EAA">
        <w:rPr>
          <w:noProof/>
        </w:rPr>
        <w:t>(Argote, Aven, &amp; Kush, 2018; Majchrzak, Jarvenpaa, &amp; Hollingshead, 2007)</w:t>
      </w:r>
      <w:r w:rsidR="00481751">
        <w:fldChar w:fldCharType="end"/>
      </w:r>
      <w:r w:rsidR="00481751">
        <w:t xml:space="preserve">. </w:t>
      </w:r>
      <w:r w:rsidR="001217E7">
        <w:t>Hence</w:t>
      </w:r>
      <w:r w:rsidR="00D1070B">
        <w:t>,</w:t>
      </w:r>
      <w:r w:rsidR="00AB017B">
        <w:t xml:space="preserve"> </w:t>
      </w:r>
      <w:r w:rsidR="00DA683C">
        <w:t xml:space="preserve">they are likely to find knowledge </w:t>
      </w:r>
      <w:r w:rsidR="0045017E">
        <w:t>integration</w:t>
      </w:r>
      <w:r w:rsidR="00642384">
        <w:t xml:space="preserve"> </w:t>
      </w:r>
      <w:r w:rsidR="00481751">
        <w:t xml:space="preserve">more </w:t>
      </w:r>
      <w:r w:rsidR="00DA683C">
        <w:t>challenging</w:t>
      </w:r>
      <w:r w:rsidR="00481751">
        <w:t xml:space="preserve"> than teams that have collaborated before. </w:t>
      </w:r>
      <w:r w:rsidR="001217E7">
        <w:t xml:space="preserve">In </w:t>
      </w:r>
      <w:r w:rsidR="00481751">
        <w:t>new</w:t>
      </w:r>
      <w:r w:rsidR="001217E7">
        <w:t xml:space="preserve"> teams,</w:t>
      </w:r>
      <w:r w:rsidR="00774307">
        <w:t xml:space="preserve"> the </w:t>
      </w:r>
      <w:r w:rsidR="0045017E">
        <w:t xml:space="preserve">role of the </w:t>
      </w:r>
      <w:r w:rsidR="00774307">
        <w:t xml:space="preserve">star as </w:t>
      </w:r>
      <w:r w:rsidR="00774307" w:rsidRPr="00774307">
        <w:t>facilitator</w:t>
      </w:r>
      <w:r w:rsidR="00774307">
        <w:t xml:space="preserve"> and “</w:t>
      </w:r>
      <w:r w:rsidR="00774307" w:rsidRPr="00774307">
        <w:t>synthesizer</w:t>
      </w:r>
      <w:r w:rsidR="00774307">
        <w:t>” of knowledge exchanges</w:t>
      </w:r>
      <w:r w:rsidR="009E23F5">
        <w:t xml:space="preserve"> </w:t>
      </w:r>
      <w:r w:rsidR="009E23F5">
        <w:fldChar w:fldCharType="begin" w:fldLock="1"/>
      </w:r>
      <w:r w:rsidR="00814EAA">
        <w:instrText>ADDIN CSL_CITATION {"citationItems":[{"id":"ITEM-1","itemData":{"DOI":"10.1287/orsc.2018.1223","ISSN":"15265455","abstract":"Creative stars make disproportionately influential contributions to their fields. Yet we know little about how an innovator's creative performance is affected by collaborating with stars. This paper studies the creative aspects of interpersonal collaboration from a distinct perspective: the quality of the collaborator. Both star and nonstar collaborators provide different benefits to a focal innovator. The innovator benefits from collaborating with nonstars because they may provide access to diverse information improving the outcome of the creative task at hand. In contrast, the focal innovator benefits from collaborating with stars because the focal innovator can also experience and learn from the star's superior set of creative synthesis skills (which integrate diverse, sometimes contradictory ideas into new coherent and holistic solutions) and, thus, build lasting creative capabilities. Building on theoretical arguments about those two different collaboration purposes, we first examine how a star collaboration (versus a nonstar collaboration) affects a comprehensive measure of an innovator's creativity: the likelihood of emerging as a star. Second, we examine how the different creative benefits of engaging with a star versus a nonstar collaborator affect the effect of two widely studied aspects of interpersonal collaboration on star emergence: social network cohesion and expertise similarity. In contrast to collaborations with nonstars, for which social cohesion and expertise similarity limit access to diverse information, negatively affecting star emergence, social network cohesion and expertise similarity have a decidedly positive effect on star collaborations by improving the transfer of the star's set of creative skills. Our empirical setting consists of designers who have been granted design patents in the United States from 1975 through 2010.","author":[{"dropping-particle":"","family":"Liu","given":"Haibo","non-dropping-particle":"","parse-names":false,"suffix":""},{"dropping-particle":"","family":"Mihm","given":"Jürgen","non-dropping-particle":"","parse-names":false,"suffix":""},{"dropping-particle":"","family":"Sosa","given":"Manuel E.","non-dropping-particle":"","parse-names":false,"suffix":""}],"container-title":"Organization Science","id":"ITEM-1","issue":"6","issued":{"date-parts":[["2019","10","1"]]},"page":"1149-1169","publisher":"INFORMS Inst.for Operations Res.and the Management Sciences","title":"Where do stars come from? The role of star vs. nonstar collaborators in creative settings","type":"article-journal","volume":"29"},"uris":["http://www.mendeley.com/documents/?uuid=03d0aa89-6fd2-3dd4-8e24-34ecc78b89ae"]}],"mendeley":{"formattedCitation":"(Liu et al., 2019)","plainTextFormattedCitation":"(Liu et al., 2019)","previouslyFormattedCitation":"(Liu et al., 2019)"},"properties":{"noteIndex":0},"schema":"https://github.com/citation-style-language/schema/raw/master/csl-citation.json"}</w:instrText>
      </w:r>
      <w:r w:rsidR="009E23F5">
        <w:fldChar w:fldCharType="separate"/>
      </w:r>
      <w:r w:rsidR="00814EAA" w:rsidRPr="00814EAA">
        <w:rPr>
          <w:noProof/>
        </w:rPr>
        <w:t>(Liu et al., 2019)</w:t>
      </w:r>
      <w:r w:rsidR="009E23F5">
        <w:fldChar w:fldCharType="end"/>
      </w:r>
      <w:r w:rsidR="00774307">
        <w:t xml:space="preserve"> </w:t>
      </w:r>
      <w:r w:rsidR="00481751">
        <w:t xml:space="preserve">thus </w:t>
      </w:r>
      <w:r w:rsidR="001217E7">
        <w:t xml:space="preserve">becomes </w:t>
      </w:r>
      <w:r w:rsidR="00774307">
        <w:t>even more important.</w:t>
      </w:r>
      <w:r w:rsidR="0073153E">
        <w:t xml:space="preserve"> S</w:t>
      </w:r>
      <w:r w:rsidR="00774307" w:rsidRPr="00774307">
        <w:t xml:space="preserve">tatus differences </w:t>
      </w:r>
      <w:r w:rsidR="0073153E">
        <w:t xml:space="preserve">also </w:t>
      </w:r>
      <w:r w:rsidR="00164B10">
        <w:t xml:space="preserve">tend to be </w:t>
      </w:r>
      <w:r w:rsidR="00774307" w:rsidRPr="00774307">
        <w:t xml:space="preserve">more </w:t>
      </w:r>
      <w:r w:rsidR="0073153E">
        <w:t>pronounced</w:t>
      </w:r>
      <w:r w:rsidR="00774307" w:rsidRPr="00774307">
        <w:t xml:space="preserve"> in the early phase</w:t>
      </w:r>
      <w:r w:rsidR="0073153E">
        <w:t>s</w:t>
      </w:r>
      <w:r w:rsidR="00774307" w:rsidRPr="00774307">
        <w:t xml:space="preserve"> of collaboration</w:t>
      </w:r>
      <w:r w:rsidR="00616AB7">
        <w:t xml:space="preserve"> </w:t>
      </w:r>
      <w:r w:rsidR="00616AB7">
        <w:fldChar w:fldCharType="begin" w:fldLock="1"/>
      </w:r>
      <w:r w:rsidR="00814EAA">
        <w:instrText>ADDIN CSL_CITATION {"citationItems":[{"id":"ITEM-1","itemData":{"abstract":"Sparrowe for their comments and encouragement during the development of this paper, Martin Kilduff, Linda Johanson, and three anonymous reviewers for excellent feedback and guidance throughout the review process, Dallen Miner, Marion Shumway, and Brad Weaver for assistance with data collection, and Kristin Pol-lak for help with data preparation and analysis. This paper develops and tests a theory of expertise recognition and utilization in groups that focuses on the critical role of members' status cues as indicators of task expertise. The theory draws on status characteristics theory and past research on groups to propose that while attributions of expertise in work groups will be informed by both specific (i.e., task-relevant) and diffuse (i.e., social category) status cues, the strength of this association will be contingent on the type of cue as well as on characteristics of the group context. So, whereas specific status cues will better predict attributions of expertise in decentralized , longer-tenured groups, diffuse status cues will better predict attributions of expertise in centralized, shorter-tenured groups. Further, attributions of expertise should fully mediate the relationship between members' status cues and intragroup influence. A multilevel test of these hypotheses in a sample of self-managed production teams in a Fortune 100 high-technology firm provides strong support. Group-level analyses confirm that the alignment of intragroup influence with specific status cues is positively associated with group performance.* In contemporary organizations, the experience, knowledge, and expertise needed to solve problems, make decisions, and perform organizational work frequently reside in groups and teams. In fact, groups and teams are often formed with the explicit goal of bringing together individuals who are or who are expected to become experts in the performance of specific aspects of an organization's work. Typically, however, knowledge and expertise are heterogeneously distributed within work groups such that some group members will almost invariably be more expert in the performance of particular group tasks than others, given differences in experience , training, education, or natural ability. Given this hetero-geneity, work groups face the challenge of identifying their more expert members and giving greater weight to the advice, suggestions, and opinions of these more expert members in solving problems and making decisions. By thus a…","author":[{"dropping-particle":"","family":"Bunderson","given":"Stuart J","non-dropping-particle":"","parse-names":false,"suffix":""}],"container-title":"Administrative Science Quarterly","id":"ITEM-1","issued":{"date-parts":[["2003"]]},"page":"557-591","title":"Recognizing and utilizing expertise in work groups: A status characteristics perspective","type":"article-journal","volume":"48"},"uris":["http://www.mendeley.com/documents/?uuid=35b642e9-551a-43a6-875a-cb60ad1ca9c1"]}],"mendeley":{"formattedCitation":"(Bunderson, 2003)","plainTextFormattedCitation":"(Bunderson, 2003)","previouslyFormattedCitation":"(Bunderson, 2003)"},"properties":{"noteIndex":0},"schema":"https://github.com/citation-style-language/schema/raw/master/csl-citation.json"}</w:instrText>
      </w:r>
      <w:r w:rsidR="00616AB7">
        <w:fldChar w:fldCharType="separate"/>
      </w:r>
      <w:r w:rsidR="00814EAA" w:rsidRPr="00814EAA">
        <w:rPr>
          <w:noProof/>
        </w:rPr>
        <w:t>(Bunderson, 2003)</w:t>
      </w:r>
      <w:r w:rsidR="00616AB7">
        <w:fldChar w:fldCharType="end"/>
      </w:r>
      <w:r w:rsidR="00164B10">
        <w:t xml:space="preserve">, </w:t>
      </w:r>
      <w:r w:rsidR="00463ADE">
        <w:t xml:space="preserve">potentially hindering </w:t>
      </w:r>
      <w:r w:rsidR="0073153E">
        <w:t>communication and free exchange of knowledge</w:t>
      </w:r>
      <w:r w:rsidR="001217E7">
        <w:t xml:space="preserve">. </w:t>
      </w:r>
      <w:r w:rsidR="0073153E">
        <w:t xml:space="preserve">Therefore, </w:t>
      </w:r>
      <w:r w:rsidR="00014C8B">
        <w:t xml:space="preserve">the influence of </w:t>
      </w:r>
      <w:r w:rsidR="00C95837">
        <w:t xml:space="preserve">knowledge </w:t>
      </w:r>
      <w:r w:rsidR="0045017E">
        <w:t>integration</w:t>
      </w:r>
      <w:r w:rsidR="00014C8B">
        <w:t xml:space="preserve"> on knowledge recombination outcomes</w:t>
      </w:r>
      <w:r w:rsidR="00C95837">
        <w:t xml:space="preserve"> </w:t>
      </w:r>
      <w:r w:rsidR="00014C8B">
        <w:t>is</w:t>
      </w:r>
      <w:r w:rsidR="00C95837">
        <w:t xml:space="preserve"> </w:t>
      </w:r>
      <w:r w:rsidR="00C95837">
        <w:lastRenderedPageBreak/>
        <w:t>likely to be</w:t>
      </w:r>
      <w:r w:rsidR="00014C8B">
        <w:t xml:space="preserve"> more pronounced</w:t>
      </w:r>
      <w:r w:rsidR="00C95837">
        <w:t xml:space="preserve"> for newly formed teams, compared to those with a history of collaboration</w:t>
      </w:r>
      <w:r w:rsidR="001217E7">
        <w:t xml:space="preserve">. This </w:t>
      </w:r>
      <w:r w:rsidR="00C95837">
        <w:t>suggest</w:t>
      </w:r>
      <w:r w:rsidR="001217E7">
        <w:t>s</w:t>
      </w:r>
      <w:r w:rsidR="00C95837">
        <w:t xml:space="preserve"> that</w:t>
      </w:r>
      <w:r w:rsidR="0045017E">
        <w:t xml:space="preserve"> </w:t>
      </w:r>
      <w:r w:rsidR="00C95837">
        <w:t>the presence of a female star</w:t>
      </w:r>
      <w:r w:rsidR="0045017E">
        <w:t xml:space="preserve">, via the knowledge integration channel, </w:t>
      </w:r>
      <w:r w:rsidR="00C95837">
        <w:t>should have greater influence on knowledge recombination breadth in newly formed teams.</w:t>
      </w:r>
      <w:r w:rsidR="00463ADE">
        <w:t xml:space="preserve"> </w:t>
      </w:r>
      <w:r w:rsidR="00C95837">
        <w:t>At the same time</w:t>
      </w:r>
      <w:r w:rsidR="00C23A25">
        <w:t>,</w:t>
      </w:r>
      <w:r w:rsidR="00070EA9">
        <w:t xml:space="preserve"> </w:t>
      </w:r>
      <w:r w:rsidR="001217E7">
        <w:t xml:space="preserve">we </w:t>
      </w:r>
      <w:r w:rsidR="009C36CC">
        <w:t>do</w:t>
      </w:r>
      <w:r w:rsidR="001217E7">
        <w:t xml:space="preserve"> not </w:t>
      </w:r>
      <w:r w:rsidR="009C36CC">
        <w:t>expect</w:t>
      </w:r>
      <w:r w:rsidR="001217E7">
        <w:t xml:space="preserve"> that access to external knowledge is more or less important in teams without prior collaboration history as compared to teams who have worked together before. </w:t>
      </w:r>
    </w:p>
    <w:p w14:paraId="0E19AC46" w14:textId="4546FFC1" w:rsidR="009C6338" w:rsidRPr="0025610F" w:rsidRDefault="0005006C">
      <w:r>
        <w:t xml:space="preserve">Accordingly, we </w:t>
      </w:r>
      <w:r w:rsidR="00BC0899">
        <w:t>test th</w:t>
      </w:r>
      <w:r>
        <w:t xml:space="preserve">ese arguments </w:t>
      </w:r>
      <w:r w:rsidR="00C763B0">
        <w:t xml:space="preserve">by interacting a dummy labeled one if the team has </w:t>
      </w:r>
      <w:r w:rsidR="00C763B0" w:rsidRPr="00481751">
        <w:rPr>
          <w:i/>
        </w:rPr>
        <w:t>no</w:t>
      </w:r>
      <w:r w:rsidR="00BC0899" w:rsidRPr="00481751">
        <w:rPr>
          <w:i/>
        </w:rPr>
        <w:t xml:space="preserve"> </w:t>
      </w:r>
      <w:r w:rsidRPr="00481751">
        <w:rPr>
          <w:i/>
        </w:rPr>
        <w:t>prior collaboration experience</w:t>
      </w:r>
      <w:r>
        <w:t xml:space="preserve"> </w:t>
      </w:r>
      <w:r w:rsidR="00C763B0">
        <w:t xml:space="preserve">(i.e., </w:t>
      </w:r>
      <w:r w:rsidR="00C763B0" w:rsidRPr="0045017E">
        <w:t>if</w:t>
      </w:r>
      <w:r w:rsidR="00481751" w:rsidRPr="0045017E">
        <w:t xml:space="preserve"> the</w:t>
      </w:r>
      <w:r w:rsidR="00C763B0" w:rsidRPr="0045017E">
        <w:t xml:space="preserve"> extent of prior collaboration is zero</w:t>
      </w:r>
      <w:r w:rsidR="00BC671A">
        <w:t>,</w:t>
      </w:r>
      <w:r w:rsidR="00C763B0" w:rsidRPr="0045017E">
        <w:t xml:space="preserve"> such</w:t>
      </w:r>
      <w:r w:rsidR="00C763B0">
        <w:t xml:space="preserve"> that </w:t>
      </w:r>
      <w:r w:rsidR="00912086">
        <w:t xml:space="preserve">none of the team members have </w:t>
      </w:r>
      <w:r w:rsidR="00C763B0">
        <w:t xml:space="preserve">worked together on a </w:t>
      </w:r>
      <w:r w:rsidR="00481751">
        <w:t>team</w:t>
      </w:r>
      <w:r w:rsidR="00C763B0">
        <w:t xml:space="preserve"> before)</w:t>
      </w:r>
      <w:r w:rsidR="009C36CC">
        <w:t xml:space="preserve"> </w:t>
      </w:r>
      <w:r w:rsidR="00BC0899">
        <w:t>with</w:t>
      </w:r>
      <w:r>
        <w:t xml:space="preserve"> the</w:t>
      </w:r>
      <w:r w:rsidR="00BC0899">
        <w:t xml:space="preserve"> female star</w:t>
      </w:r>
      <w:r>
        <w:t xml:space="preserve"> variable</w:t>
      </w:r>
      <w:r w:rsidR="00BC0899">
        <w:t xml:space="preserve"> in the regression.</w:t>
      </w:r>
      <w:r w:rsidR="00F4130E">
        <w:t xml:space="preserve"> </w:t>
      </w:r>
      <w:r w:rsidR="00BC0899">
        <w:t>As shown in</w:t>
      </w:r>
      <w:r w:rsidR="00912086">
        <w:t xml:space="preserve"> </w:t>
      </w:r>
      <w:r w:rsidR="009C36CC">
        <w:t>Model 6.1</w:t>
      </w:r>
      <w:r w:rsidR="00912086">
        <w:t xml:space="preserve"> of </w:t>
      </w:r>
      <w:r w:rsidR="007A46A5">
        <w:t>Table 6</w:t>
      </w:r>
      <w:r w:rsidR="00912086">
        <w:t>, the main effect of not having collaborated before is negative.</w:t>
      </w:r>
      <w:r w:rsidR="007A46A5">
        <w:t xml:space="preserve"> </w:t>
      </w:r>
      <w:r w:rsidR="00912086">
        <w:t>I</w:t>
      </w:r>
      <w:r w:rsidR="00C23A25">
        <w:t>n line with our arguments</w:t>
      </w:r>
      <w:r w:rsidR="00BC0899">
        <w:t xml:space="preserve">, the </w:t>
      </w:r>
      <w:r w:rsidR="00BC0899" w:rsidRPr="0045017E">
        <w:t>interaction</w:t>
      </w:r>
      <w:r w:rsidR="00912086" w:rsidRPr="0045017E">
        <w:t xml:space="preserve"> of female star and no prior collaboration</w:t>
      </w:r>
      <w:r w:rsidR="00BC0899" w:rsidRPr="0045017E">
        <w:t xml:space="preserve"> is positive and</w:t>
      </w:r>
      <w:r w:rsidR="00BC0899">
        <w:t xml:space="preserve"> significant </w:t>
      </w:r>
      <w:r w:rsidR="000C03A8" w:rsidRPr="00C6085C">
        <w:rPr>
          <w:rFonts w:eastAsia="SimSun"/>
          <w:kern w:val="24"/>
          <w:lang w:eastAsia="zh-TW"/>
        </w:rPr>
        <w:t>(</w:t>
      </w:r>
      <w:r w:rsidR="000C03A8" w:rsidRPr="0045017E">
        <w:rPr>
          <w:rFonts w:eastAsia="SimSun"/>
          <w:i/>
          <w:kern w:val="24"/>
          <w:lang w:eastAsia="zh-TW"/>
        </w:rPr>
        <w:t>β</w:t>
      </w:r>
      <w:r w:rsidR="00912086" w:rsidRPr="00481751">
        <w:rPr>
          <w:rFonts w:eastAsia="SimSun"/>
          <w:kern w:val="24"/>
          <w:lang w:eastAsia="zh-TW"/>
        </w:rPr>
        <w:t xml:space="preserve"> </w:t>
      </w:r>
      <w:r w:rsidR="000C03A8" w:rsidRPr="00267956">
        <w:rPr>
          <w:rFonts w:eastAsia="SimSun"/>
          <w:kern w:val="24"/>
          <w:lang w:eastAsia="zh-TW"/>
        </w:rPr>
        <w:t xml:space="preserve">= </w:t>
      </w:r>
      <w:r w:rsidR="00912086">
        <w:rPr>
          <w:rFonts w:eastAsia="SimSun"/>
          <w:kern w:val="24"/>
          <w:lang w:eastAsia="zh-TW"/>
        </w:rPr>
        <w:t>0.035</w:t>
      </w:r>
      <w:r w:rsidR="000C03A8" w:rsidRPr="00267956">
        <w:rPr>
          <w:rFonts w:eastAsia="SimSun"/>
          <w:kern w:val="24"/>
          <w:lang w:eastAsia="zh-TW"/>
        </w:rPr>
        <w:t xml:space="preserve">; </w:t>
      </w:r>
      <w:r w:rsidR="000C03A8" w:rsidRPr="0045017E">
        <w:rPr>
          <w:rFonts w:eastAsia="SimSun"/>
          <w:i/>
          <w:kern w:val="24"/>
          <w:lang w:eastAsia="zh-TW"/>
        </w:rPr>
        <w:t>p</w:t>
      </w:r>
      <w:r w:rsidR="00912086">
        <w:rPr>
          <w:rFonts w:eastAsia="SimSun"/>
          <w:kern w:val="24"/>
          <w:lang w:eastAsia="zh-TW"/>
        </w:rPr>
        <w:t xml:space="preserve"> &lt; 0.01</w:t>
      </w:r>
      <w:r w:rsidR="000C03A8" w:rsidRPr="00267956">
        <w:rPr>
          <w:rFonts w:eastAsia="SimSun"/>
          <w:kern w:val="24"/>
          <w:lang w:eastAsia="zh-TW"/>
        </w:rPr>
        <w:t>)</w:t>
      </w:r>
      <w:r w:rsidR="003028D3">
        <w:rPr>
          <w:rFonts w:eastAsia="SimSun"/>
          <w:kern w:val="24"/>
          <w:lang w:eastAsia="zh-TW"/>
        </w:rPr>
        <w:t xml:space="preserve">. This </w:t>
      </w:r>
      <w:r w:rsidR="00BC0899">
        <w:t>indicat</w:t>
      </w:r>
      <w:r w:rsidR="003028D3">
        <w:t>es</w:t>
      </w:r>
      <w:r w:rsidR="00BC0899">
        <w:t xml:space="preserve"> that the effect of a female star on the team’s knowledge recombination is more positive when the team has never worked together before.</w:t>
      </w:r>
      <w:r w:rsidR="00912086">
        <w:t xml:space="preserve"> We obtain similar results for the interaction when using </w:t>
      </w:r>
      <w:r w:rsidR="00912086" w:rsidRPr="00481751">
        <w:rPr>
          <w:i/>
        </w:rPr>
        <w:t xml:space="preserve">no prior collaboration with the star inventor </w:t>
      </w:r>
      <w:r w:rsidR="00912086">
        <w:t xml:space="preserve">as an alternative variable, taking the value one if the star has never worked together with any of the non-star team members, as shown in </w:t>
      </w:r>
      <w:r w:rsidR="009C36CC">
        <w:t>Model 6.2</w:t>
      </w:r>
      <w:r w:rsidR="00912086">
        <w:t>.</w:t>
      </w:r>
    </w:p>
    <w:tbl>
      <w:tblPr>
        <w:tblStyle w:val="TableGrid"/>
        <w:tblW w:w="0" w:type="auto"/>
        <w:jc w:val="center"/>
        <w:tblLook w:val="04A0" w:firstRow="1" w:lastRow="0" w:firstColumn="1" w:lastColumn="0" w:noHBand="0" w:noVBand="1"/>
      </w:tblPr>
      <w:tblGrid>
        <w:gridCol w:w="2835"/>
      </w:tblGrid>
      <w:tr w:rsidR="009C6338" w:rsidRPr="00D750CA" w14:paraId="3FFC79A4" w14:textId="77777777" w:rsidTr="00164F21">
        <w:trPr>
          <w:trHeight w:val="385"/>
          <w:jc w:val="center"/>
        </w:trPr>
        <w:tc>
          <w:tcPr>
            <w:tcW w:w="2835" w:type="dxa"/>
            <w:tcBorders>
              <w:top w:val="single" w:sz="4" w:space="0" w:color="auto"/>
              <w:left w:val="nil"/>
              <w:bottom w:val="single" w:sz="4" w:space="0" w:color="auto"/>
              <w:right w:val="nil"/>
            </w:tcBorders>
            <w:vAlign w:val="center"/>
          </w:tcPr>
          <w:p w14:paraId="09F2BAFF" w14:textId="1222F97A" w:rsidR="009C6338" w:rsidRPr="00D750CA" w:rsidRDefault="009C6338" w:rsidP="0045017E">
            <w:pPr>
              <w:spacing w:line="240" w:lineRule="auto"/>
              <w:ind w:firstLine="0"/>
              <w:jc w:val="center"/>
            </w:pPr>
            <w:r w:rsidRPr="00D750CA">
              <w:t xml:space="preserve">Insert Table </w:t>
            </w:r>
            <w:r>
              <w:t>6</w:t>
            </w:r>
            <w:r w:rsidRPr="00D750CA">
              <w:t xml:space="preserve"> about here</w:t>
            </w:r>
          </w:p>
        </w:tc>
      </w:tr>
    </w:tbl>
    <w:p w14:paraId="45A65AA9" w14:textId="46E99B24" w:rsidR="0082441E" w:rsidRDefault="009C6338" w:rsidP="0045017E">
      <w:pPr>
        <w:spacing w:before="360"/>
      </w:pPr>
      <w:r w:rsidRPr="005356C6">
        <w:rPr>
          <w:b/>
          <w:i/>
        </w:rPr>
        <w:t>Alternative estimation strategy.</w:t>
      </w:r>
      <w:r>
        <w:rPr>
          <w:i/>
        </w:rPr>
        <w:t xml:space="preserve"> </w:t>
      </w:r>
      <w:r w:rsidDel="00060134">
        <w:t xml:space="preserve">Our </w:t>
      </w:r>
      <w:r w:rsidRPr="0061105C" w:rsidDel="00060134">
        <w:t>dependent variable knowledge recombination breadth is bound between 0 and 1. We choose weighted OLS in our main analyses</w:t>
      </w:r>
      <w:r w:rsidDel="00060134">
        <w:t xml:space="preserve"> because it makes the interpretation of the results simple and straightforward. Yet, to investigate possible issues of model dependence, we also run a Tobit model censored at 0 and 1</w:t>
      </w:r>
      <w:r w:rsidR="00870E41">
        <w:t xml:space="preserve"> </w:t>
      </w:r>
      <w:r w:rsidR="00870E41">
        <w:fldChar w:fldCharType="begin" w:fldLock="1"/>
      </w:r>
      <w:r w:rsidR="00814EAA">
        <w:instrText>ADDIN CSL_CITATION {"citationItems":[{"id":"ITEM-1","itemData":{"DOI":"10.2307/1907382","ISSN":"00129682","abstract":"JSTOR is a not-for-profit service that helps scholars, researchers, and students discover, use, and build upon a wide range of content in a trusted digital archive. We use information technology and tools to increase productivity and facilitate new forms of scholarship. For more information about JSTOR, please contact support@jstor.org. . The Econometric Society is collaborating with JSTOR to digitize, preserve and extend access to Econometrica. \"What do you mean, less than nothing?\" replied Wilbur. \"I don't think there is any such thing as less than nothing. Nothing is absolutely the limit of nothingness. It's the lowest you can go. It's the end of the line. How can something be less than nothing? If there were something that was less than nothing then nothing would not be nothing, it would be something-even though it's just a very little bit of something. But if nothing is nothing, then nothing has nothing that is less than it is.\" E. B. White, Charlotte's Web (New York: Harper, 1952) p. 28.","author":[{"dropping-particle":"","family":"Tobin","given":"James","non-dropping-particle":"","parse-names":false,"suffix":""}],"container-title":"Econometrica","id":"ITEM-1","issue":"1","issued":{"date-parts":[["1958"]]},"page":"24","title":"Estimation of relationships for limited dependent variables","type":"article-journal","volume":"26"},"uris":["http://www.mendeley.com/documents/?uuid=1b57d256-fadd-36f2-8a54-f5f3b818d007"]}],"mendeley":{"formattedCitation":"(Tobin, 1958)","plainTextFormattedCitation":"(Tobin, 1958)","previouslyFormattedCitation":"(Tobin, 1958)"},"properties":{"noteIndex":0},"schema":"https://github.com/citation-style-language/schema/raw/master/csl-citation.json"}</w:instrText>
      </w:r>
      <w:r w:rsidR="00870E41">
        <w:fldChar w:fldCharType="separate"/>
      </w:r>
      <w:r w:rsidR="00814EAA" w:rsidRPr="00814EAA">
        <w:rPr>
          <w:noProof/>
        </w:rPr>
        <w:t>(Tobin, 1958)</w:t>
      </w:r>
      <w:r w:rsidR="00870E41">
        <w:fldChar w:fldCharType="end"/>
      </w:r>
      <w:r w:rsidR="00D4415B">
        <w:t xml:space="preserve">. </w:t>
      </w:r>
      <w:r w:rsidR="009C36CC">
        <w:t>As shown in Model A</w:t>
      </w:r>
      <w:r w:rsidR="00F4130E">
        <w:t>5</w:t>
      </w:r>
      <w:r w:rsidR="009C36CC">
        <w:t xml:space="preserve">.2 in Appendix </w:t>
      </w:r>
      <w:r w:rsidR="00F4130E">
        <w:t>5</w:t>
      </w:r>
      <w:r w:rsidR="00CE31DF">
        <w:t>,</w:t>
      </w:r>
      <w:r w:rsidDel="00060134">
        <w:t xml:space="preserve"> our results remain robust. </w:t>
      </w:r>
      <w:bookmarkEnd w:id="7"/>
    </w:p>
    <w:p w14:paraId="3F1BF26E" w14:textId="70286BDD" w:rsidR="0061105C" w:rsidRDefault="00060134" w:rsidP="005A2721">
      <w:r w:rsidRPr="00246CD1">
        <w:rPr>
          <w:b/>
          <w:i/>
        </w:rPr>
        <w:lastRenderedPageBreak/>
        <w:t>Alternative variable specification</w:t>
      </w:r>
      <w:r w:rsidR="002549E5" w:rsidRPr="00246CD1">
        <w:rPr>
          <w:b/>
          <w:i/>
        </w:rPr>
        <w:t>.</w:t>
      </w:r>
      <w:r>
        <w:rPr>
          <w:i/>
        </w:rPr>
        <w:t xml:space="preserve"> </w:t>
      </w:r>
      <w:r w:rsidR="002106BD">
        <w:t>Ou</w:t>
      </w:r>
      <w:r w:rsidR="008A57DD">
        <w:t>r</w:t>
      </w:r>
      <w:r w:rsidR="005662E2">
        <w:t xml:space="preserve"> dependent variable measures the diversity of technology classes reported in a patent’s backward citations.</w:t>
      </w:r>
      <w:r w:rsidR="002106BD">
        <w:t xml:space="preserve"> </w:t>
      </w:r>
      <w:r w:rsidR="008A57DD">
        <w:t>The reliability of this approach hinges on the assumption that</w:t>
      </w:r>
      <w:r w:rsidR="002106BD">
        <w:t xml:space="preserve"> backward citations qualify as an objective indicator for an invention’s knowledge</w:t>
      </w:r>
      <w:r w:rsidR="009C36CC">
        <w:t xml:space="preserve"> recombination</w:t>
      </w:r>
      <w:r w:rsidR="002106BD">
        <w:t xml:space="preserve"> breadth.</w:t>
      </w:r>
      <w:r w:rsidR="005662E2">
        <w:t xml:space="preserve"> </w:t>
      </w:r>
      <w:r w:rsidR="00180747">
        <w:t>As opposed to the patent examination process at the European Patent Office (EPO)</w:t>
      </w:r>
      <w:r w:rsidR="005662E2">
        <w:t xml:space="preserve">, </w:t>
      </w:r>
      <w:r w:rsidR="007F3B52">
        <w:t xml:space="preserve">the </w:t>
      </w:r>
      <w:r w:rsidR="005662E2">
        <w:t xml:space="preserve">patent </w:t>
      </w:r>
      <w:r w:rsidR="007F3B52">
        <w:t>application process at the USPTO allows not only examiners but also applicants to reference prior knowledge</w:t>
      </w:r>
      <w:r w:rsidR="005310D4">
        <w:t xml:space="preserve">. Specified </w:t>
      </w:r>
      <w:r w:rsidR="007F0632">
        <w:t>in the</w:t>
      </w:r>
      <w:r w:rsidR="005310D4">
        <w:t xml:space="preserve"> duty of disclosure, patent applicants are </w:t>
      </w:r>
      <w:r w:rsidR="00B91412">
        <w:t xml:space="preserve">required </w:t>
      </w:r>
      <w:r w:rsidR="005310D4">
        <w:t>to disclose all information known to the individual. If individuals fail to cite a reference</w:t>
      </w:r>
      <w:r w:rsidR="00CB42C7">
        <w:t>,</w:t>
      </w:r>
      <w:r w:rsidR="005310D4">
        <w:t xml:space="preserve"> they </w:t>
      </w:r>
      <w:r w:rsidR="000F57B2">
        <w:t>put</w:t>
      </w:r>
      <w:r w:rsidR="005310D4">
        <w:t xml:space="preserve"> the</w:t>
      </w:r>
      <w:r w:rsidR="00854223">
        <w:t>ir</w:t>
      </w:r>
      <w:r w:rsidR="005310D4">
        <w:t xml:space="preserve"> patent’s validity</w:t>
      </w:r>
      <w:r w:rsidR="000F57B2">
        <w:t xml:space="preserve"> at risk</w:t>
      </w:r>
      <w:r w:rsidR="00D4415B">
        <w:t xml:space="preserve"> </w:t>
      </w:r>
      <w:r w:rsidR="00D4415B">
        <w:fldChar w:fldCharType="begin" w:fldLock="1"/>
      </w:r>
      <w:r w:rsidR="00814EAA">
        <w:instrText>ADDIN CSL_CITATION {"citationItems":[{"id":"ITEM-1","itemData":{"DOI":"10.1111/1756-2171.12307","ISSN":"17562171","abstract":"Many studies rely on patent citations to measure intellectual heritage and impact. In this article, we show that the nature of patent citations has changed dramatically in recent years. Today, a small minority of patent applications are generating a large majority of patent citations, and the mean technological similarity between citing and cited patents has fallen considerably. We replicate several well-known studies in industrial organization and innovation economics and demonstrate how generalized assumptions about the nature of patent citations have misled the field.","author":[{"dropping-particle":"","family":"Kuhn","given":"Jeffrey","non-dropping-particle":"","parse-names":false,"suffix":""},{"dropping-particle":"","family":"Younge","given":"Kenneth","non-dropping-particle":"","parse-names":false,"suffix":""},{"dropping-particle":"","family":"Marco","given":"Alan","non-dropping-particle":"","parse-names":false,"suffix":""}],"container-title":"RAND Journal of Economics","id":"ITEM-1","issue":"1","issued":{"date-parts":[["2020","3","1"]]},"page":"109-132","publisher":"Wiley-Blackwell Publishing, Inc.","title":"Patent citations reexamined","type":"article-journal","volume":"51"},"uris":["http://www.mendeley.com/documents/?uuid=9deb9618-9e7b-3d7a-b4bf-065130c6e101"]}],"mendeley":{"formattedCitation":"(Kuhn, Younge, &amp; Marco, 2020)","plainTextFormattedCitation":"(Kuhn, Younge, &amp; Marco, 2020)","previouslyFormattedCitation":"(Kuhn, Younge, &amp; Marco, 2020)"},"properties":{"noteIndex":0},"schema":"https://github.com/citation-style-language/schema/raw/master/csl-citation.json"}</w:instrText>
      </w:r>
      <w:r w:rsidR="00D4415B">
        <w:fldChar w:fldCharType="separate"/>
      </w:r>
      <w:r w:rsidR="00814EAA" w:rsidRPr="00814EAA">
        <w:rPr>
          <w:noProof/>
        </w:rPr>
        <w:t>(Kuhn, Younge, &amp; Marco, 2020)</w:t>
      </w:r>
      <w:r w:rsidR="00D4415B">
        <w:fldChar w:fldCharType="end"/>
      </w:r>
      <w:r w:rsidR="00D4415B">
        <w:t xml:space="preserve">. </w:t>
      </w:r>
      <w:r w:rsidR="00CB42C7">
        <w:t>Thus, i</w:t>
      </w:r>
      <w:r w:rsidR="00E1394A">
        <w:t>n theory, all applicants have the same incentive to cite prior work when applying for a patent</w:t>
      </w:r>
      <w:r w:rsidR="00B3123A">
        <w:t>. Still</w:t>
      </w:r>
      <w:r w:rsidR="00B91412">
        <w:t>,</w:t>
      </w:r>
      <w:r w:rsidR="00E1394A">
        <w:t xml:space="preserve"> one </w:t>
      </w:r>
      <w:r w:rsidR="00B91412">
        <w:t xml:space="preserve">may </w:t>
      </w:r>
      <w:r w:rsidR="00E1394A">
        <w:t xml:space="preserve">argue that </w:t>
      </w:r>
      <w:r w:rsidR="00011D04">
        <w:t xml:space="preserve">personal </w:t>
      </w:r>
      <w:r w:rsidR="00E1394A">
        <w:t>characteristics</w:t>
      </w:r>
      <w:r w:rsidR="00CB42C7">
        <w:t>,</w:t>
      </w:r>
      <w:r w:rsidR="00E1394A">
        <w:t xml:space="preserve"> such as</w:t>
      </w:r>
      <w:r w:rsidR="00011D04">
        <w:t xml:space="preserve"> </w:t>
      </w:r>
      <w:r w:rsidR="00E1394A">
        <w:t>willingness to take risk</w:t>
      </w:r>
      <w:r w:rsidR="000E1779">
        <w:t>s</w:t>
      </w:r>
      <w:r w:rsidR="00E1394A">
        <w:t xml:space="preserve"> or</w:t>
      </w:r>
      <w:r w:rsidR="00202D42">
        <w:t xml:space="preserve"> </w:t>
      </w:r>
      <w:r w:rsidR="00B3123A">
        <w:t xml:space="preserve">time and </w:t>
      </w:r>
      <w:r w:rsidR="00E1394A">
        <w:t>resources</w:t>
      </w:r>
      <w:r w:rsidR="00202D42">
        <w:t xml:space="preserve"> available</w:t>
      </w:r>
      <w:r w:rsidR="00B91412">
        <w:t xml:space="preserve"> for searching prior patents</w:t>
      </w:r>
      <w:r w:rsidR="00CB42C7">
        <w:t>,</w:t>
      </w:r>
      <w:r w:rsidR="00B91412">
        <w:t xml:space="preserve"> </w:t>
      </w:r>
      <w:r w:rsidR="00B3123A">
        <w:t xml:space="preserve">influence the </w:t>
      </w:r>
      <w:r w:rsidR="00B91412">
        <w:t xml:space="preserve">referencing </w:t>
      </w:r>
      <w:r w:rsidR="00B3123A">
        <w:t xml:space="preserve">process. </w:t>
      </w:r>
    </w:p>
    <w:p w14:paraId="7B59C417" w14:textId="249A170A" w:rsidR="00874C80" w:rsidRPr="00881D19" w:rsidRDefault="00B3123A" w:rsidP="0061105C">
      <w:r>
        <w:t xml:space="preserve">To </w:t>
      </w:r>
      <w:r w:rsidR="00F707DC">
        <w:t>rule out</w:t>
      </w:r>
      <w:r>
        <w:t xml:space="preserve"> this alternative explanation, we create a second measure of knowledge recombination breadth, which excludes all backward citations made by the applicant</w:t>
      </w:r>
      <w:r w:rsidR="00B91412">
        <w:t>s themselves (on average</w:t>
      </w:r>
      <w:r w:rsidR="000E1779">
        <w:t>,</w:t>
      </w:r>
      <w:r w:rsidR="00B91412">
        <w:t xml:space="preserve"> 40% of all citations).</w:t>
      </w:r>
      <w:r w:rsidR="00F707DC">
        <w:t xml:space="preserve"> </w:t>
      </w:r>
      <w:r w:rsidR="00164F21">
        <w:t xml:space="preserve">As shown in the </w:t>
      </w:r>
      <w:r w:rsidR="00481751">
        <w:t xml:space="preserve">Model </w:t>
      </w:r>
      <w:r w:rsidR="00322133">
        <w:t>A</w:t>
      </w:r>
      <w:r w:rsidR="00F4130E">
        <w:t>5</w:t>
      </w:r>
      <w:r w:rsidR="00481751">
        <w:t>.3</w:t>
      </w:r>
      <w:r w:rsidR="00164F21">
        <w:t xml:space="preserve"> of Appendix </w:t>
      </w:r>
      <w:r w:rsidR="00F4130E">
        <w:t>5</w:t>
      </w:r>
      <w:r w:rsidR="006401CC">
        <w:t>,</w:t>
      </w:r>
      <w:r w:rsidR="00164F21">
        <w:t xml:space="preserve"> our results remain stable when using this adapted measure of knowledge recombination breadth. We are, therefore, confident that our results are not driven by different referencing behavior between inventor teams with female and male stars. </w:t>
      </w:r>
      <w:r w:rsidR="009C6338">
        <w:t>Furthermore, we also use a traditional Herfindahl index</w:t>
      </w:r>
      <w:r w:rsidR="00164F21">
        <w:t xml:space="preserve"> </w:t>
      </w:r>
      <w:r w:rsidR="00164F21">
        <w:fldChar w:fldCharType="begin" w:fldLock="1"/>
      </w:r>
      <w:r w:rsidR="00814EAA">
        <w:instrText>ADDIN CSL_CITATION {"citationItems":[{"id":"ITEM-1","itemData":{"DOI":"10.1080/10438599800000021","ISSN":"1476-8364","abstract":"Two major themes that have emerged from recent theoretical and empirical studies of technology at the firm level have been the tendencies on the one hand to lucslization of technological search and on the other hand to the spread of multi-technology companies, required to incorporate an ever-growing extent of advanced technologies. These trends appear contradictory. This paper analyses the contradictions through the use of patcnts d a b as an indicator of technological specialization. TWO industries and some of their leading corporations are singled out far analysis-the electronics industry (especially in Europe). as an upstream \"high-tech\" industry. and the food-processing industry, a downstream sector that is now having to make use of a burgeoning range of rechnologies. The paper examines their m a j o r c ~ ~ t e chnger in the light of the tcch~rological data, through the use of concentration indices. It shows that both industries are trying to reconcile the contradiction with greater speciilliration taking place in sub-units of the firms. though the effect is ,nore muted in food-pmccssing where demand factors predominate. The need to command multiple diverse technologies is being targeted by restmcluring firms in terms of both external relationships and internal reorganizations, but the basic contradiction still remains and may bc insoluble.","author":[{"dropping-particle":"","family":"Tunzelmann","given":"G N","non-dropping-particle":"","parse-names":false,"suffix":""}],"container-title":"Economics of Innovation and New Technology","id":"ITEM-1","issue":"3","issued":{"date-parts":[["1998"]]},"page":"231-255","publisher":"Overseas Publishers Association","title":"Localized technological search And multi-technology companies","type":"article-journal","volume":"6"},"prefix":"e.g., ","uris":["http://www.mendeley.com/documents/?uuid=3db112e7-8300-3e13-98e5-5cb4cfde0994"]}],"mendeley":{"formattedCitation":"(e.g., Tunzelmann, 1998)","plainTextFormattedCitation":"(e.g., Tunzelmann, 1998)","previouslyFormattedCitation":"(e.g., Tunzelmann, 1998)"},"properties":{"noteIndex":0},"schema":"https://github.com/citation-style-language/schema/raw/master/csl-citation.json"}</w:instrText>
      </w:r>
      <w:r w:rsidR="00164F21">
        <w:fldChar w:fldCharType="separate"/>
      </w:r>
      <w:r w:rsidR="00814EAA" w:rsidRPr="00814EAA">
        <w:rPr>
          <w:noProof/>
        </w:rPr>
        <w:t>(e.g., Tunzelmann, 1998)</w:t>
      </w:r>
      <w:r w:rsidR="00164F21">
        <w:fldChar w:fldCharType="end"/>
      </w:r>
      <w:r w:rsidR="00613C0E">
        <w:t xml:space="preserve"> as an alternative measure for knowledge recombination breadth. This index is </w:t>
      </w:r>
      <w:r w:rsidR="00613C0E" w:rsidRPr="00164F21">
        <w:t xml:space="preserve">invariant </w:t>
      </w:r>
      <w:r w:rsidR="00613C0E">
        <w:t>to how broadly each of the referenced patents were distributed across technological</w:t>
      </w:r>
      <w:r w:rsidR="00613C0E" w:rsidRPr="00164F21">
        <w:t xml:space="preserve"> </w:t>
      </w:r>
      <w:r w:rsidR="00613C0E">
        <w:t>areas. We again obtain consistent results</w:t>
      </w:r>
      <w:r w:rsidR="008F56B9">
        <w:t>,</w:t>
      </w:r>
      <w:r w:rsidR="00613C0E">
        <w:t xml:space="preserve"> as reported in Model A5.4 of Appendix 5.</w:t>
      </w:r>
      <w:r w:rsidR="00164F21">
        <w:t xml:space="preserve"> </w:t>
      </w:r>
    </w:p>
    <w:p w14:paraId="5465FE66" w14:textId="77777777" w:rsidR="00942239" w:rsidRDefault="00942239">
      <w:pPr>
        <w:spacing w:before="0" w:after="160" w:line="259" w:lineRule="auto"/>
        <w:ind w:firstLine="0"/>
        <w:rPr>
          <w:b/>
          <w:caps/>
        </w:rPr>
      </w:pPr>
      <w:r>
        <w:br w:type="page"/>
      </w:r>
    </w:p>
    <w:p w14:paraId="15226BBC" w14:textId="2291F4B8" w:rsidR="0039527A" w:rsidRPr="00FD14F2" w:rsidRDefault="0039527A" w:rsidP="00292634">
      <w:pPr>
        <w:pStyle w:val="Heading1"/>
      </w:pPr>
      <w:r w:rsidRPr="00FD14F2">
        <w:lastRenderedPageBreak/>
        <w:t>Discussion and Conclusion</w:t>
      </w:r>
    </w:p>
    <w:p w14:paraId="5B81E086" w14:textId="6395EDD1" w:rsidR="001164AF" w:rsidRDefault="0039527A" w:rsidP="005A2721">
      <w:r w:rsidRPr="009C4469">
        <w:t xml:space="preserve">Our </w:t>
      </w:r>
      <w:r w:rsidR="00246CD1">
        <w:t xml:space="preserve">study </w:t>
      </w:r>
      <w:r w:rsidR="002C224F">
        <w:t>aims</w:t>
      </w:r>
      <w:r w:rsidR="00246CD1">
        <w:t xml:space="preserve"> </w:t>
      </w:r>
      <w:r w:rsidRPr="009C4469">
        <w:t xml:space="preserve">to investigate differences in </w:t>
      </w:r>
      <w:r w:rsidR="005C05EE" w:rsidRPr="009C4469">
        <w:t>knowledge recombination breadth</w:t>
      </w:r>
      <w:r w:rsidRPr="009C4469">
        <w:t xml:space="preserve"> between teams including a female </w:t>
      </w:r>
      <w:r w:rsidR="009C4469" w:rsidRPr="009C4469">
        <w:t>star</w:t>
      </w:r>
      <w:r w:rsidR="00A82A57">
        <w:t xml:space="preserve"> versus</w:t>
      </w:r>
      <w:r w:rsidR="009C4469" w:rsidRPr="009C4469">
        <w:t xml:space="preserve"> a male star</w:t>
      </w:r>
      <w:r w:rsidRPr="009C4469">
        <w:t xml:space="preserve">. Extending prior research, we characterize potential differences between male and female stars that may lead to </w:t>
      </w:r>
      <w:r w:rsidR="00B84B11">
        <w:t xml:space="preserve">differences in </w:t>
      </w:r>
      <w:r w:rsidR="00194783">
        <w:t xml:space="preserve">the recombination of </w:t>
      </w:r>
      <w:r w:rsidR="00B84B11">
        <w:t xml:space="preserve">knowledge </w:t>
      </w:r>
      <w:r w:rsidR="00194783">
        <w:t>in</w:t>
      </w:r>
      <w:r w:rsidRPr="009C4469">
        <w:t xml:space="preserve"> the team</w:t>
      </w:r>
      <w:r w:rsidR="00A52DC9">
        <w:t>s</w:t>
      </w:r>
      <w:r w:rsidRPr="009C4469">
        <w:t xml:space="preserve"> they are a part of. </w:t>
      </w:r>
      <w:r w:rsidR="009C4469" w:rsidRPr="0036073A">
        <w:t xml:space="preserve">Drawing </w:t>
      </w:r>
      <w:r w:rsidR="007D397D">
        <w:t>from</w:t>
      </w:r>
      <w:r w:rsidR="007D397D" w:rsidRPr="0036073A">
        <w:t xml:space="preserve"> </w:t>
      </w:r>
      <w:r w:rsidR="009C4469" w:rsidRPr="0036073A">
        <w:t xml:space="preserve">literature on status and psychological differences </w:t>
      </w:r>
      <w:r w:rsidR="00545F66">
        <w:t>regarding</w:t>
      </w:r>
      <w:r w:rsidR="005F2F31">
        <w:t xml:space="preserve"> the</w:t>
      </w:r>
      <w:r w:rsidR="009C4469" w:rsidRPr="0036073A">
        <w:t xml:space="preserve"> </w:t>
      </w:r>
      <w:r w:rsidR="00D1581F" w:rsidRPr="0036073A">
        <w:t>perception</w:t>
      </w:r>
      <w:r w:rsidR="00D1581F">
        <w:t xml:space="preserve">, </w:t>
      </w:r>
      <w:r w:rsidR="009C4469" w:rsidRPr="0036073A">
        <w:t>characteristics</w:t>
      </w:r>
      <w:r w:rsidR="0061105C">
        <w:t xml:space="preserve">, </w:t>
      </w:r>
      <w:r w:rsidR="00D1581F">
        <w:t xml:space="preserve">and </w:t>
      </w:r>
      <w:r w:rsidR="009C4469" w:rsidRPr="0036073A">
        <w:t>behavior</w:t>
      </w:r>
      <w:r w:rsidR="00D1581F">
        <w:t xml:space="preserve"> </w:t>
      </w:r>
      <w:r w:rsidR="002E4201">
        <w:t>of women and men</w:t>
      </w:r>
      <w:r w:rsidR="009C4469" w:rsidRPr="0036073A">
        <w:t xml:space="preserve">, we elucidate how gender differences </w:t>
      </w:r>
      <w:r w:rsidR="008302B1">
        <w:t xml:space="preserve">between stars </w:t>
      </w:r>
      <w:r w:rsidR="009C4469" w:rsidRPr="0036073A">
        <w:t xml:space="preserve">translate </w:t>
      </w:r>
      <w:r w:rsidR="001164AF">
        <w:t>in</w:t>
      </w:r>
      <w:r w:rsidR="008302B1">
        <w:t>to</w:t>
      </w:r>
      <w:r w:rsidR="008302B1" w:rsidRPr="0036073A">
        <w:t xml:space="preserve"> </w:t>
      </w:r>
      <w:r w:rsidR="009C4469" w:rsidRPr="0036073A">
        <w:t xml:space="preserve">differences in the </w:t>
      </w:r>
      <w:r w:rsidR="002E4201">
        <w:t>breadth of knowledge recombination</w:t>
      </w:r>
      <w:r w:rsidR="00BD6F40">
        <w:t xml:space="preserve"> in teams</w:t>
      </w:r>
      <w:r w:rsidR="001164AF">
        <w:t xml:space="preserve">. </w:t>
      </w:r>
    </w:p>
    <w:p w14:paraId="648BB52E" w14:textId="1DDF5E50" w:rsidR="009C4469" w:rsidRDefault="001164AF" w:rsidP="005A2721">
      <w:r>
        <w:t>W</w:t>
      </w:r>
      <w:r w:rsidR="002E4201">
        <w:t xml:space="preserve">e </w:t>
      </w:r>
      <w:r w:rsidR="00AD2AC8">
        <w:t xml:space="preserve">view </w:t>
      </w:r>
      <w:r>
        <w:t xml:space="preserve">knowledge recombination breadth </w:t>
      </w:r>
      <w:r w:rsidR="002E4201">
        <w:t xml:space="preserve">as a function of the </w:t>
      </w:r>
      <w:r w:rsidR="009C4469" w:rsidRPr="0036073A">
        <w:t xml:space="preserve">amount of knowledge available for recombination as well as of teams’ knowledge integration processes. Specifically, we argue that male stars enhance teams’ access to external knowledge due to </w:t>
      </w:r>
      <w:r w:rsidR="00EF00D2">
        <w:t xml:space="preserve">their </w:t>
      </w:r>
      <w:r w:rsidR="009C4469" w:rsidRPr="0036073A">
        <w:t>greater status in organizations, while female stars demonstrate behaviors and characteristics</w:t>
      </w:r>
      <w:r w:rsidR="00FD14F2" w:rsidRPr="0036073A">
        <w:t xml:space="preserve"> which facilitate </w:t>
      </w:r>
      <w:r w:rsidR="0061105C">
        <w:t>knowledge integration</w:t>
      </w:r>
      <w:r w:rsidR="00FD14F2" w:rsidRPr="0036073A">
        <w:t xml:space="preserve"> </w:t>
      </w:r>
      <w:r w:rsidR="0061105C">
        <w:t xml:space="preserve">processes </w:t>
      </w:r>
      <w:r w:rsidR="00FD14F2" w:rsidRPr="0036073A">
        <w:t>in teams. We also theorize that</w:t>
      </w:r>
      <w:r w:rsidR="00512759">
        <w:t xml:space="preserve"> teams’ benefits from superior knowledge</w:t>
      </w:r>
      <w:r w:rsidR="00FD14F2" w:rsidRPr="0036073A">
        <w:t xml:space="preserve"> </w:t>
      </w:r>
      <w:r w:rsidR="00512759">
        <w:t xml:space="preserve">integration outweigh </w:t>
      </w:r>
      <w:r w:rsidR="00296E13">
        <w:t>those associated with</w:t>
      </w:r>
      <w:r w:rsidR="00512759">
        <w:t xml:space="preserve"> </w:t>
      </w:r>
      <w:r w:rsidR="00296E13">
        <w:t>access</w:t>
      </w:r>
      <w:r w:rsidR="00070BED">
        <w:t>ing external knowledge</w:t>
      </w:r>
      <w:r w:rsidR="00ED211B">
        <w:t>.</w:t>
      </w:r>
      <w:r w:rsidR="00296E13">
        <w:t xml:space="preserve"> </w:t>
      </w:r>
      <w:r>
        <w:t>Our empirical analysis of inventor teams with female and male star inventors</w:t>
      </w:r>
      <w:r w:rsidR="008C4E44" w:rsidRPr="003D458F">
        <w:t xml:space="preserve"> </w:t>
      </w:r>
      <w:r>
        <w:t>provides support for the hypothesis that teams with female stars recombine knowledge more broadly than teams with male stars.</w:t>
      </w:r>
    </w:p>
    <w:p w14:paraId="5EB29427" w14:textId="71CDC408" w:rsidR="0039527A" w:rsidRPr="00621225" w:rsidRDefault="0039527A" w:rsidP="002E4201">
      <w:pPr>
        <w:pStyle w:val="Heading2"/>
      </w:pPr>
      <w:r w:rsidRPr="00621225">
        <w:t>Theoretical implications</w:t>
      </w:r>
    </w:p>
    <w:p w14:paraId="359B1D74" w14:textId="24A53A7E" w:rsidR="001164AF" w:rsidRDefault="0039527A" w:rsidP="005A2721">
      <w:r w:rsidRPr="00621225">
        <w:t>Our research extends knowledge on the role of female star performers in knowledge-intensive activities and contributes to current research debate</w:t>
      </w:r>
      <w:r w:rsidR="0077199D">
        <w:t>s</w:t>
      </w:r>
      <w:r w:rsidRPr="00621225">
        <w:t xml:space="preserve"> in three main ways. First, we contribute to the star literature </w:t>
      </w:r>
      <w:r w:rsidRPr="00621225">
        <w:fldChar w:fldCharType="begin" w:fldLock="1"/>
      </w:r>
      <w:r w:rsidR="00814EAA">
        <w:instrText>ADDIN CSL_CITATION {"citationItems":[{"id":"ITEM-1","itemData":{"DOI":"10.1287/mnsc.1070.0809","ISSN":"00251909","abstract":"This paper examines the portability of star security analysts' performance. Star analysts who switched employers experienced an immediate decline in performance that persisted for at least five years. This decline was most pronounced among star analysts who moved to firms with lesser capabilities and those who moved solo, without other team members. Star analysts who moved between two firms with equivalent capabilities also exhibited a drop in performance, but only for two years. Those who switched to firms with better capabilities and those who moved with other team members exhibited no significant decline in short-term or long-term performance. These findings suggest that firm-specific skills and firms' capabilities both play important roles in star analysts' performance. In addition, we find that firms that hire star analysts from competitors with better capabilities suffered more extreme negative stock-market reactions than those that hire from comparable or lesser firms. These findings suggest that hiring stars may be perceived as value destroying and may not improve a firm's competitive advantage. © 2008 INFORMS.","author":[{"dropping-particle":"","family":"Groysberg","given":"Boris","non-dropping-particle":"","parse-names":false,"suffix":""},{"dropping-particle":"","family":"Lee","given":"Linda Eling","non-dropping-particle":"","parse-names":false,"suffix":""},{"dropping-particle":"","family":"Nanda","given":"Ashish","non-dropping-particle":"","parse-names":false,"suffix":""}],"container-title":"Management Science","id":"ITEM-1","issue":"7","issued":{"date-parts":[["2008","7"]]},"page":"1213-1230","title":"Can they take it with them? The portability of star knowledge workers' performance","type":"article-journal","volume":"54"},"uris":["http://www.mendeley.com/documents/?uuid=af7a4cff-d0eb-3c1e-9c36-fc1687213462"]},{"id":"ITEM-2","itemData":{"DOI":"10.1016/S0742-3322(04)21005-1","ISBN":"0762311355","ISSN":"07423322","abstract":"Do firms build new capabilities by hiring new people? We explore this question in the context of the pharmaceutical industry's movement towards science-driven drug discovery. We focus particularly on the potential problem of endogeneity in interpreting correlation between hiring and changes in organizational outcomes as evidence of the impact of new hires on the firm, and on the more fundamental conceptual question of the conditions under which hiring might be a source of competitive advantage, given the well known objection that resources that are freely available through the market cannot be a source of differential capabilities. Using data on the movement and publication of \"star\" scientists, we find that the adoption of science based drug discovery within the firm is closely correlated with the hiring of star scientists. This correlation appears to be reasonably robust to a number of controls for endogeneity. We also show that the hiring of highly talented scientists appears to have a significant impact on the behavior of scientists already working within the firm. We interpret this as consistent with the idea that hiring may change organizational capabilities through the interaction of new talent with the policies, routines and people already in place within the firm. © 2004 Elsevier Ltd. All rights reserved.","author":[{"dropping-particle":"","family":"Lacetera","given":"Nicola","non-dropping-particle":"","parse-names":false,"suffix":""},{"dropping-particle":"","family":"Cockburn","given":"Iain M.","non-dropping-particle":"","parse-names":false,"suffix":""},{"dropping-particle":"","family":"Henderson","given":"Rebecca","non-dropping-particle":"","parse-names":false,"suffix":""}],"container-title":"Advances in Strategic Management","id":"ITEM-2","issued":{"date-parts":[["2004"]]},"page":"133-159","title":"Do firms change capabilities by hiring people? A study of the adoption of the science-based drug discovery","type":"article-journal","volume":"21"},"uris":["http://www.mendeley.com/documents/?uuid=213f14eb-b76e-3ae8-a568-a75edd6ddcdb"]},{"id":"ITEM-3","itemData":{"DOI":"10.1287/orsc.1070.0291","ISSN":"10477039","abstract":"Following the dynamic capabilities perspective, we suggest that antecedents to innovation can be found at the individual, firm, and network levels. Thus, we challenge two assumptions common in prior research: (1) that significant variance exists at the focal level of analysis, whereas other levels of analysis are assumed to be homogeneous, and (2) that the focal level of analysis is independent from other levels of analysis. Accordingly, we advance a set of hypotheses to simultaneously assess the direct effects of antecedents at the individual, firm, and network levels on innovation output. We then investigate whether a firm's antecedents to innovation lie across different levels. To accomplish this, we propose two competing interaction hypotheses. We juxtapose the hypothesis that the individual-, firm-, and network-level antecedents to innovation are substitutes versus the proposition that these innovation mechanisms are complements. We test our multilevel theoretical model using an unusually comprehensive and detailed panel data set that documents the innovation attempts of global pharmaceutical companies within biotechnology over a 22-year time period (1980-2001). We find evidence that the antecedents to innovation lie across different levels of analysis and can have compensating or reinforcing effects on firm-level innovative output. © 2007 INFORMS.","author":[{"dropping-particle":"","family":"Rothaermel","given":"Frank T","non-dropping-particle":"","parse-names":false,"suffix":""},{"dropping-particle":"","family":"Hess","given":"Andrew M","non-dropping-particle":"","parse-names":false,"suffix":""}],"container-title":"Organization Science","id":"ITEM-3","issue":"6","issued":{"date-parts":[["2007"]]},"page":"898-921","title":"Building dynamic capabilities: Innovation driven by individual-, firm-, and network-level effects","type":"article-journal","volume":"18"},"uris":["http://www.mendeley.com/documents/?uuid=e7fbf7f7-6bec-3b91-bdbc-e94ea871c646"]},{"id":"ITEM-4","itemData":{"DOI":"10.2307/116831","ISSN":"00028282","author":[{"dropping-particle":"","family":"Zucker","given":"Lynne G.","non-dropping-particle":"","parse-names":false,"suffix":""},{"dropping-particle":"","family":"Darby","given":"Michael R.","non-dropping-particle":"","parse-names":false,"suffix":""},{"dropping-particle":"","family":"Brewer","given":"Marilynn B.","non-dropping-particle":"","parse-names":false,"suffix":""}],"container-title":"American Economic Review","id":"ITEM-4","issue":"1","issued":{"date-parts":[["1998","3"]]},"page":"290-306","title":"Intellectual human capital and the birth of U.S. biotechnology enterprises","type":"article-journal","volume":"88"},"uris":["http://www.mendeley.com/documents/?uuid=e4fb0dc1-77d5-3ec9-a74f-2598c3ec66a9"]}],"mendeley":{"formattedCitation":"(Groysberg et al., 2008; Lacetera et al., 2004; Rothaermel &amp; Hess, 2007; Zucker, Darby, &amp; Brewer, 1998)","plainTextFormattedCitation":"(Groysberg et al., 2008; Lacetera et al., 2004; Rothaermel &amp; Hess, 2007; Zucker, Darby, &amp; Brewer, 1998)","previouslyFormattedCitation":"(Groysberg et al., 2008; Lacetera et al., 2004; Rothaermel &amp; Hess, 2007; Zucker, Darby, &amp; Brewer, 1998)"},"properties":{"noteIndex":0},"schema":"https://github.com/citation-style-language/schema/raw/master/csl-citation.json"}</w:instrText>
      </w:r>
      <w:r w:rsidRPr="00621225">
        <w:fldChar w:fldCharType="separate"/>
      </w:r>
      <w:r w:rsidR="00814EAA" w:rsidRPr="00814EAA">
        <w:rPr>
          <w:noProof/>
        </w:rPr>
        <w:t>(Groysberg et al., 2008; Lacetera et al., 2004; Rothaermel &amp; Hess, 2007; Zucker, Darby, &amp; Brewer, 1998)</w:t>
      </w:r>
      <w:r w:rsidRPr="00621225">
        <w:fldChar w:fldCharType="end"/>
      </w:r>
      <w:r w:rsidRPr="00621225">
        <w:t>, where our knowledge to date is largely built around male stars.</w:t>
      </w:r>
      <w:r w:rsidR="004226AA">
        <w:t xml:space="preserve"> In particular, prior work has established both benefits and costs of stars’ presence o</w:t>
      </w:r>
      <w:r w:rsidR="004533EC">
        <w:t>n</w:t>
      </w:r>
      <w:r w:rsidR="004226AA">
        <w:t xml:space="preserve"> teams.</w:t>
      </w:r>
      <w:r w:rsidRPr="00621225">
        <w:t xml:space="preserve"> Complementing </w:t>
      </w:r>
      <w:r w:rsidR="004226AA">
        <w:t xml:space="preserve">this </w:t>
      </w:r>
      <w:r w:rsidRPr="00621225">
        <w:t xml:space="preserve">existing research, which indicates the organizational </w:t>
      </w:r>
      <w:r w:rsidRPr="00621225">
        <w:lastRenderedPageBreak/>
        <w:t xml:space="preserve">value of stars in knowledge work is contingent upon their collaborations with others </w:t>
      </w:r>
      <w:r w:rsidRPr="00621225">
        <w:fldChar w:fldCharType="begin" w:fldLock="1"/>
      </w:r>
      <w:r w:rsidR="00814EAA">
        <w:instrText>ADDIN CSL_CITATION {"citationItems":[{"id":"ITEM-1","itemData":{"DOI":"10.1002/smj.2758","ISSN":"10970266","abstract":"Research Summary: While research has focused primarily on stars as individual contributors, we examine organizational situations where stars must work closely with non-stars. We argue that, in such situations, building teamwork around a star is an exercise in learning under complexity. In response, organizations prioritize interactions involving the star to simplify learning. This simplification, however, creates organizational myopia. We claim that a star’s temporary absence helps the organization overcome myopia by triggering a search for new routines. When he returns, the organization may combine these new routines with pre-absence routines to improve teamwork and performance. We exploit injuries to star players in the National Basketball Association as an exogenous shock and find that on average, teams perform better after a star’s return than before his absence. Managerial Summary: This study examines the effect of the temporary absence of a star evidence that a star employee’s temporary absence helps the organization overcome an over-reliance on the star and improve teamwork. Improved teamwork, in turn, enables the organization to perform better upon the star’s return than it did prior to his absence. This result suggests that organizations might want to revisit the tendency to view stars as too valuable to lose, even for a short time. In particular, organizations may want to pull stars from ongoing projects and encourage them to attend professional development programs. A star’s temporary absence and return from such a program improves not only the star’s skills but also the organization’s teamwork.","author":[{"dropping-particle":"","family":"Chen","given":"John S.","non-dropping-particle":"","parse-names":false,"suffix":""},{"dropping-particle":"","family":"Garg","given":"Pranav","non-dropping-particle":"","parse-names":false,"suffix":""}],"container-title":"Strategic Management Journal","id":"ITEM-1","issue":"5","issued":{"date-parts":[["2018","5","1"]]},"page":"1239-1267","publisher":"John Wiley and Sons Ltd","title":"Dancing with the stars: Benefits of a star employee’s temporary absence for organizational performance","type":"article-journal","volume":"39"},"uris":["http://www.mendeley.com/documents/?uuid=58ca222c-36e0-3a31-847a-c5735491d9f8"]},{"id":"ITEM-2","itemData":{"DOI":"10.1177/0149206313513612","ISBN":"0149206313","ISSN":"01492063","abstract":"Conceptualizing new knowledge development as a process of search and recombination, we suggest that a focus on individual productivity alone presents an undersocialized view of human capital. Rather, we emphasize the importance of embedded relationships by individuals to effectively perform knowledge-generating activities. We rely on intraorganizational knowledge networks emerging through individual collaboration to identify actors who can positively influence their organization's knowledge outcomes. We study two types of such relational stars: integrators (outliers in centrality) and connectors (outliers in bridging behavior). We test our ideas using the patenting portfolios of 106 pharmaceutical firms from 1974 to 1998 predicting the effect of relational stars on their firm's quantity and quality of inventive output-proxies for the firm's capacity to develop more and better new knowledge stocks. We find that the presence of relational stars results in firm-level knowledge advantages not only through their own superior recombinant efforts, but also through their capacity to make others around them more effective at knowledge recombination. Relational stars are firm-specific, and their advantages are socially complex and causally ambiguous because they rely on a network of within-firm interactions. Relational stars, therefore, are prime candidates to be a source of sustainable firm-level knowledge advantage. © The Author(s) 2013.","author":[{"dropping-particle":"","family":"Grigoriou","given":"Konstantinos","non-dropping-particle":"","parse-names":false,"suffix":""},{"dropping-particle":"","family":"Rothaermel","given":"Frank T.","non-dropping-particle":"","parse-names":false,"suffix":""}],"container-title":"Journal of Management","id":"ITEM-2","issue":"2","issued":{"date-parts":[["2014"]]},"page":"586-615","title":"Structural microfoundations of innovation: The role of relational stars","type":"article-journal","volume":"40"},"uris":["http://www.mendeley.com/documents/?uuid=e22b1485-0f12-4c5a-ba4b-4e1ea8005c76"]},{"id":"ITEM-3","itemData":{"DOI":"10.1002/smj.2240","ISBN":"1097-0266","ISSN":"10970266","PMID":"875962929","abstract":"Do star employees enhance or constrain the innovative performance of an organization? Using data from 456 biotechnology firms between 1973 and 2003, we highlight the duality of the effects that stars have on firm performance. We show that while stars positively affect firms' productivity, their presence constrains the emergence of other innovative leaders in an organization. We find that firm productivity and innovative leadership among non-stars in a firm are greatest when a star has broad expertise and collaborates frequently. We offer cross-disciplinary insights into the role of human capital as a source of competitive advantage, suggesting that the value of human capital in a firm is contingent on the mutual dependence inherent in high-status employees' relationships with other individuals in a firm.","author":[{"dropping-particle":"","family":"Kehoe","given":"Rebecca R.","non-dropping-particle":"","parse-names":false,"suffix":""},{"dropping-particle":"","family":"Tzabbar","given":"Daniel","non-dropping-particle":"","parse-names":false,"suffix":""}],"container-title":"Strategic Management Journal","id":"ITEM-3","issue":"5","issued":{"date-parts":[["2015"]]},"page":"709-727","title":"Lighting the way or stealing the shine? An examination of the duality in star scientists' effects on firm innovative performance","type":"article-journal","volume":"36"},"uris":["http://www.mendeley.com/documents/?uuid=b43a5f5b-03f3-4373-ba36-1dde3a9092f1"]},{"id":"ITEM-4","itemData":{"DOI":"10.1287/mnsc.1110.1470","ISSN":"00251909","abstract":"It is surprising that the prevailing performance taxonomy for scientists (star versus nonstar) focuses only on individual output and ignores social behavior, because innovation is often characterized as a communal process. To develop a deeper understanding of the mechanisms by which scientists influence the productivity of others, I expand the traditional taxonomy of scientists that focuses solely on productivity and add a second, social dimension: helpfulness to others. Using a combination of academic paper publications and citations to capture scientist productivity and the receipt of academic paper acknowledgments to measure helpfulness, I examine the change in publishing output of the coauthors of 149 scientists that die. Coauthors of highly helpful scientists that die experience a decrease in output quality but not output quantity. Meanwhile, the deaths of high productivity scientists that are not highly helpful do not influence their coauthors' output. In addition, scientists who are helpful with conceptual feedback (critique and advice) have a larger impact on the performance of their coauthors than scientists who provide help with material access, scientific tools, or technical work. Within the context of evaluating scientific productivity, it may be time to update our conceptualization of a \"star.\". © 2012 INFORMS.","author":[{"dropping-particle":"","family":"Oettl","given":"Alexander","non-dropping-particle":"","parse-names":false,"suffix":""}],"container-title":"Management Science","id":"ITEM-4","issue":"6","issued":{"date-parts":[["2012","6"]]},"page":"1122-1140","title":"Reconceptualizing stars: Scientist helpfulness and peer performance","type":"article-journal","volume":"58"},"uris":["http://www.mendeley.com/documents/?uuid=ea5dbf47-f05d-3328-a53f-a40cbb0866d9"]}],"mendeley":{"formattedCitation":"(Chen &amp; Garg, 2018; Grigoriou &amp; Rothaermel, 2014; Kehoe &amp; Tzabbar, 2015; Oettl, 2012)","plainTextFormattedCitation":"(Chen &amp; Garg, 2018; Grigoriou &amp; Rothaermel, 2014; Kehoe &amp; Tzabbar, 2015; Oettl, 2012)","previouslyFormattedCitation":"(Chen &amp; Garg, 2018; Grigoriou &amp; Rothaermel, 2014; Kehoe &amp; Tzabbar, 2015; Oettl, 2012)"},"properties":{"noteIndex":0},"schema":"https://github.com/citation-style-language/schema/raw/master/csl-citation.json"}</w:instrText>
      </w:r>
      <w:r w:rsidRPr="00621225">
        <w:fldChar w:fldCharType="separate"/>
      </w:r>
      <w:r w:rsidR="00814EAA" w:rsidRPr="00814EAA">
        <w:rPr>
          <w:noProof/>
        </w:rPr>
        <w:t>(Chen &amp; Garg, 2018; Grigoriou &amp; Rothaermel, 2014; Kehoe &amp; Tzabbar, 2015; Oettl, 2012)</w:t>
      </w:r>
      <w:r w:rsidRPr="00621225">
        <w:fldChar w:fldCharType="end"/>
      </w:r>
      <w:r w:rsidRPr="00621225">
        <w:t>, we highlight the importance of considering the star’s individual characteristics</w:t>
      </w:r>
      <w:r w:rsidR="001164AF">
        <w:t xml:space="preserve">. </w:t>
      </w:r>
      <w:r w:rsidRPr="00621225">
        <w:t>Here</w:t>
      </w:r>
      <w:r w:rsidR="00621225" w:rsidRPr="00621225">
        <w:t>,</w:t>
      </w:r>
      <w:r w:rsidRPr="00621225">
        <w:t xml:space="preserve"> our findings indicate that the gender of the star </w:t>
      </w:r>
      <w:r w:rsidR="00D94FC6">
        <w:t>matters</w:t>
      </w:r>
      <w:r w:rsidR="00442608">
        <w:t xml:space="preserve"> and </w:t>
      </w:r>
      <w:r w:rsidR="00EF00D2">
        <w:t>that f</w:t>
      </w:r>
      <w:r w:rsidR="00442608">
        <w:t>emale and male stars play different roles in teams, leading to systematic differences in knowledge outcomes</w:t>
      </w:r>
      <w:r w:rsidRPr="00621225">
        <w:t xml:space="preserve">. </w:t>
      </w:r>
    </w:p>
    <w:p w14:paraId="2E9AEA05" w14:textId="038C05EF" w:rsidR="00E72D87" w:rsidRDefault="00621225" w:rsidP="00E72D87">
      <w:r>
        <w:t xml:space="preserve">Second, we attempt to address a contradiction emerging from literatures on gender differences </w:t>
      </w:r>
      <w:r w:rsidR="008A124E">
        <w:t>related to</w:t>
      </w:r>
      <w:r>
        <w:t xml:space="preserve"> status and </w:t>
      </w:r>
      <w:r w:rsidR="00EF00D2">
        <w:t xml:space="preserve">gender differences related to </w:t>
      </w:r>
      <w:r>
        <w:t xml:space="preserve">psychological </w:t>
      </w:r>
      <w:r w:rsidR="00CE31DF">
        <w:t xml:space="preserve">perceptions, </w:t>
      </w:r>
      <w:r>
        <w:t>characteristics</w:t>
      </w:r>
      <w:r w:rsidR="00CE31DF">
        <w:t>,</w:t>
      </w:r>
      <w:r>
        <w:t xml:space="preserve"> and behaviors</w:t>
      </w:r>
      <w:r w:rsidR="00D94FC6">
        <w:t>. We</w:t>
      </w:r>
      <w:r>
        <w:t xml:space="preserve"> disentangle the relevance of increasing </w:t>
      </w:r>
      <w:r w:rsidR="00EF00D2">
        <w:t xml:space="preserve">available </w:t>
      </w:r>
      <w:r>
        <w:t>knowledge as raw material for recombination in teams</w:t>
      </w:r>
      <w:r w:rsidR="002E4C15">
        <w:t>,</w:t>
      </w:r>
      <w:r>
        <w:t xml:space="preserve"> and the processes that </w:t>
      </w:r>
      <w:r w:rsidR="00D52153">
        <w:t xml:space="preserve">ultimately allow this diverse material to be integrated into creative output </w:t>
      </w:r>
      <w:r w:rsidR="00D52153">
        <w:fldChar w:fldCharType="begin" w:fldLock="1"/>
      </w:r>
      <w:r w:rsidR="00814EAA">
        <w:instrText>ADDIN CSL_CITATION {"citationItems":[{"id":"ITEM-1","itemData":{"DOI":"10.1287/orsc.2018.1223","ISSN":"15265455","abstract":"Creative stars make disproportionately influential contributions to their fields. Yet we know little about how an innovator's creative performance is affected by collaborating with stars. This paper studies the creative aspects of interpersonal collaboration from a distinct perspective: the quality of the collaborator. Both star and nonstar collaborators provide different benefits to a focal innovator. The innovator benefits from collaborating with nonstars because they may provide access to diverse information improving the outcome of the creative task at hand. In contrast, the focal innovator benefits from collaborating with stars because the focal innovator can also experience and learn from the star's superior set of creative synthesis skills (which integrate diverse, sometimes contradictory ideas into new coherent and holistic solutions) and, thus, build lasting creative capabilities. Building on theoretical arguments about those two different collaboration purposes, we first examine how a star collaboration (versus a nonstar collaboration) affects a comprehensive measure of an innovator's creativity: the likelihood of emerging as a star. Second, we examine how the different creative benefits of engaging with a star versus a nonstar collaborator affect the effect of two widely studied aspects of interpersonal collaboration on star emergence: social network cohesion and expertise similarity. In contrast to collaborations with nonstars, for which social cohesion and expertise similarity limit access to diverse information, negatively affecting star emergence, social network cohesion and expertise similarity have a decidedly positive effect on star collaborations by improving the transfer of the star's set of creative skills. Our empirical setting consists of designers who have been granted design patents in the United States from 1975 through 2010.","author":[{"dropping-particle":"","family":"Liu","given":"Haibo","non-dropping-particle":"","parse-names":false,"suffix":""},{"dropping-particle":"","family":"Mihm","given":"Jürgen","non-dropping-particle":"","parse-names":false,"suffix":""},{"dropping-particle":"","family":"Sosa","given":"Manuel E.","non-dropping-particle":"","parse-names":false,"suffix":""}],"container-title":"Organization Science","id":"ITEM-1","issue":"6","issued":{"date-parts":[["2019","10","1"]]},"page":"1149-1169","publisher":"INFORMS Inst.for Operations Res.and the Management Sciences","title":"Where do stars come from? The role of star vs. nonstar collaborators in creative settings","type":"article-journal","volume":"29"},"uris":["http://www.mendeley.com/documents/?uuid=03d0aa89-6fd2-3dd4-8e24-34ecc78b89ae"]},{"id":"ITEM-2","itemData":{"DOI":"10.5465/amr.2012.0224","ISSN":"03637425","abstract":"This article provides insight into how some groups achieve extraordinary levels of creativity by reconsidering the collective process through which new ideas develop. Previous research has been premised on a model in which idea generation stimulated by divergent input increases the variance in ideas a group generates and therefore increases the chance that one of the group's ideas will be a radical, breakthrough creative product. In contrast, I present a dialectical model in which the integration of group members' perspectives (which I label creative synthesis) is the foundation for new ideas. I propose that the process of creative synthesis improves the chance that each of a group's ideas is a breakthrough. I elaborate the process facilitators of creative synthesis and the implications of the dialectical model for understanding extraordinary group creativity. Creative synthesis provides an alternative way for groups to combine their cognitive, social, and environmental resources into extraordinary output. Copyright of the Academy of Management, all rights reserved.","author":[{"dropping-particle":"","family":"Harvey","given":"Sarah","non-dropping-particle":"","parse-names":false,"suffix":""}],"container-title":"Academy of Management Review","id":"ITEM-2","issue":"3","issued":{"date-parts":[["2014"]]},"page":"324-343","title":"Creative synthesis: Exploring the process of extraordinary group creativity","type":"article-journal","volume":"39"},"uris":["http://www.mendeley.com/documents/?uuid=17ddf7dd-ff59-478c-b46d-2fde89cd1cf4"]},{"id":"ITEM-3","itemData":{"DOI":"10.1287/orsc.1060.0200","ISSN":"10477039","abstract":"This paper introduces a model of collective creativity that explains how the locus of creative problem solving shifts, at times, from the individual to the interactions of a collective. The model is grounded in observations, interviews, informal conversations, and archival data gathered in intensive field studies of work in professional service firms. The evidence suggests that although some creative solutions can be seen as the products of individual insight, others should be regarded as the products of a momentary collective process. Such collective creativity reflects a qualitative shift in the nature of the creative process, as the comprehension of a problematic situation and the generation of creative solutions draw from - and reframe - the past experiences of participants in ways that lead to new and valuable insights. This research investigates the origins of such moments, and builds a model of collective creativity that identifies the precipitating roles played by four types of social interaction: help seeking, help giving, reflective refraining, and reinforcing. Implications of this research include shifting the emphasis in research and management of creativity from identifying and managing creative individuals to understanding the social context and developing interactive approaches to creativity, and from a focus on relatively constant contextual variables to the alignment of fluctuating variables and their precipitation of momentary phenomena. © 2006 INFORMS.","author":[{"dropping-particle":"","family":"Hargadon","given":"Andrew B.","non-dropping-particle":"","parse-names":false,"suffix":""},{"dropping-particle":"","family":"Bechky","given":"Beth A.","non-dropping-particle":"","parse-names":false,"suffix":""}],"container-title":"Organization Science","id":"ITEM-3","issue":"4","issued":{"date-parts":[["2006"]]},"page":"484-500","title":"When collections of creatives become creative collectives: A field study of problem solving at work","type":"article-journal","volume":"17"},"uris":["http://www.mendeley.com/documents/?uuid=5198b4ed-2b69-4254-9937-acc013bfe86e"]}],"mendeley":{"formattedCitation":"(Hargadon &amp; Bechky, 2006; Harvey, 2014; Liu et al., 2019)","plainTextFormattedCitation":"(Hargadon &amp; Bechky, 2006; Harvey, 2014; Liu et al., 2019)","previouslyFormattedCitation":"(Hargadon &amp; Bechky, 2006; Harvey, 2014; Liu et al., 2019)"},"properties":{"noteIndex":0},"schema":"https://github.com/citation-style-language/schema/raw/master/csl-citation.json"}</w:instrText>
      </w:r>
      <w:r w:rsidR="00D52153">
        <w:fldChar w:fldCharType="separate"/>
      </w:r>
      <w:r w:rsidR="00814EAA" w:rsidRPr="00814EAA">
        <w:rPr>
          <w:noProof/>
        </w:rPr>
        <w:t>(Hargadon &amp; Bechky, 2006; Harvey, 2014; Liu et al., 2019)</w:t>
      </w:r>
      <w:r w:rsidR="00D52153">
        <w:fldChar w:fldCharType="end"/>
      </w:r>
      <w:r w:rsidR="00D52153">
        <w:t>.</w:t>
      </w:r>
      <w:r w:rsidR="0075611E">
        <w:t xml:space="preserve"> Here, </w:t>
      </w:r>
      <w:r w:rsidR="006B65B8">
        <w:t xml:space="preserve">our findings suggest </w:t>
      </w:r>
      <w:r w:rsidR="00DB6E04">
        <w:t xml:space="preserve">not only that stars can differentially impact these two determinants, but </w:t>
      </w:r>
      <w:r w:rsidR="006B65B8">
        <w:t>that</w:t>
      </w:r>
      <w:r w:rsidR="0075611E">
        <w:t xml:space="preserve"> the </w:t>
      </w:r>
      <w:r w:rsidR="006B65B8">
        <w:t xml:space="preserve">relative </w:t>
      </w:r>
      <w:r w:rsidR="0075611E">
        <w:t xml:space="preserve">importance of knowledge </w:t>
      </w:r>
      <w:r w:rsidR="00E91724">
        <w:t>integration</w:t>
      </w:r>
      <w:r w:rsidR="0075611E">
        <w:t xml:space="preserve"> processes </w:t>
      </w:r>
      <w:r w:rsidR="00E91724">
        <w:t>is a</w:t>
      </w:r>
      <w:r w:rsidR="0075611E">
        <w:t xml:space="preserve"> key driver of </w:t>
      </w:r>
      <w:r w:rsidR="002E4C15">
        <w:t xml:space="preserve">teams’ </w:t>
      </w:r>
      <w:r w:rsidR="0075611E">
        <w:t>knowledge recombination outcomes.</w:t>
      </w:r>
      <w:r w:rsidR="006B65B8">
        <w:t xml:space="preserve"> </w:t>
      </w:r>
    </w:p>
    <w:p w14:paraId="1EAAF916" w14:textId="306E12B5" w:rsidR="00E91724" w:rsidRDefault="00CA597B" w:rsidP="00E72D87">
      <w:r>
        <w:t xml:space="preserve">Finally, our findings also contribute to </w:t>
      </w:r>
      <w:r w:rsidR="00403C3B">
        <w:t>the social perspective</w:t>
      </w:r>
      <w:r>
        <w:t xml:space="preserve"> on team </w:t>
      </w:r>
      <w:r w:rsidR="00CF3F9C">
        <w:t xml:space="preserve">creativity and </w:t>
      </w:r>
      <w:r>
        <w:t>knowledge creation, which consider</w:t>
      </w:r>
      <w:r w:rsidR="002E4C15">
        <w:t>s</w:t>
      </w:r>
      <w:r w:rsidR="00CF3F9C">
        <w:t xml:space="preserve"> the </w:t>
      </w:r>
      <w:r w:rsidR="008334BD">
        <w:t xml:space="preserve">importance of interaction and collaboration within teams as a central determinant of breakthrough creativity </w:t>
      </w:r>
      <w:r w:rsidR="00643493">
        <w:fldChar w:fldCharType="begin" w:fldLock="1"/>
      </w:r>
      <w:r w:rsidR="00814EAA">
        <w:instrText>ADDIN CSL_CITATION {"citationItems":[{"id":"ITEM-1","itemData":{"DOI":"10.5465/AMR.2003.8925236","ISSN":"03637425","abstract":"We explore the association between the context of social relationships and individual creativity. We go beyond a one-dimensional treatment of social relationships, highlighting the importance of both static and dynamic social network concepts. We argue that weaker ties are generally but not always beneficial for creativity, propose the network positions that facilitate and constrain creative work, and describe three moderators. A spiraling model is presented, capturing the cyclical relationship between creativity and network position. Collectively, our propositions describe an individual's creative life cycle in terms of network position.","author":[{"dropping-particle":"","family":"Perry-Smith","given":"Jill E.","non-dropping-particle":"","parse-names":false,"suffix":""},{"dropping-particle":"","family":"Shalley","given":"Christina E.","non-dropping-particle":"","parse-names":false,"suffix":""}],"container-title":"Academy of Management Review","id":"ITEM-1","issue":"1","issued":{"date-parts":[["2003"]]},"page":"89-106","title":"The social side of creativity: A static and dynamic social network perspective","type":"article-journal","volume":"28"},"uris":["http://www.mendeley.com/documents/?uuid=5e6abc8a-4ef4-4168-a823-88b2b7f59c74"]}],"mendeley":{"formattedCitation":"(Perry-Smith &amp; Shalley, 2003)","plainTextFormattedCitation":"(Perry-Smith &amp; Shalley, 2003)","previouslyFormattedCitation":"(Perry-Smith &amp; Shalley, 2003)"},"properties":{"noteIndex":0},"schema":"https://github.com/citation-style-language/schema/raw/master/csl-citation.json"}</w:instrText>
      </w:r>
      <w:r w:rsidR="00643493">
        <w:fldChar w:fldCharType="separate"/>
      </w:r>
      <w:r w:rsidR="00814EAA" w:rsidRPr="00814EAA">
        <w:rPr>
          <w:noProof/>
        </w:rPr>
        <w:t>(Perry-Smith &amp; Shalley, 2003)</w:t>
      </w:r>
      <w:r w:rsidR="00643493">
        <w:fldChar w:fldCharType="end"/>
      </w:r>
      <w:r w:rsidR="00CF3F9C">
        <w:t>.</w:t>
      </w:r>
      <w:r w:rsidR="002E4C15">
        <w:t xml:space="preserve"> By </w:t>
      </w:r>
      <w:r w:rsidR="002836B3">
        <w:t>arguing</w:t>
      </w:r>
      <w:r w:rsidR="002E4C15">
        <w:t xml:space="preserve"> th</w:t>
      </w:r>
      <w:r w:rsidR="002836B3">
        <w:t xml:space="preserve">at teams interact and communicate with female and male stars in varied ways, our findings suggest that non-star team members’ collaboration with female and male stars does not yield identical knowledge outcomes. </w:t>
      </w:r>
      <w:r w:rsidR="00644244">
        <w:t xml:space="preserve">We, thus, contribute to the literature that examines the role </w:t>
      </w:r>
      <w:r w:rsidR="002836B3">
        <w:t xml:space="preserve">and functioning </w:t>
      </w:r>
      <w:r w:rsidR="00644244">
        <w:t xml:space="preserve">of team social processes as key determinants of knowledge recombination </w:t>
      </w:r>
      <w:r w:rsidR="00644244">
        <w:fldChar w:fldCharType="begin" w:fldLock="1"/>
      </w:r>
      <w:r w:rsidR="00814EAA">
        <w:instrText>ADDIN CSL_CITATION {"citationItems":[{"id":"ITEM-1","itemData":{"DOI":"10.5465/amr.2012.0224","ISSN":"03637425","abstract":"This article provides insight into how some groups achieve extraordinary levels of creativity by reconsidering the collective process through which new ideas develop. Previous research has been premised on a model in which idea generation stimulated by divergent input increases the variance in ideas a group generates and therefore increases the chance that one of the group's ideas will be a radical, breakthrough creative product. In contrast, I present a dialectical model in which the integration of group members' perspectives (which I label creative synthesis) is the foundation for new ideas. I propose that the process of creative synthesis improves the chance that each of a group's ideas is a breakthrough. I elaborate the process facilitators of creative synthesis and the implications of the dialectical model for understanding extraordinary group creativity. Creative synthesis provides an alternative way for groups to combine their cognitive, social, and environmental resources into extraordinary output. Copyright of the Academy of Management, all rights reserved.","author":[{"dropping-particle":"","family":"Harvey","given":"Sarah","non-dropping-particle":"","parse-names":false,"suffix":""}],"container-title":"Academy of Management Review","id":"ITEM-1","issue":"3","issued":{"date-parts":[["2014"]]},"page":"324-343","title":"Creative synthesis: Exploring the process of extraordinary group creativity","type":"article-journal","volume":"39"},"uris":["http://www.mendeley.com/documents/?uuid=17ddf7dd-ff59-478c-b46d-2fde89cd1cf4"]},{"id":"ITEM-2","itemData":{"DOI":"10.1287/orsc.2017.1141","ISSN":"15265455","abstract":"The use of technological tools to execute creative tasks is pervasive within crossdisciplinary teams, yet little attention has been paid to their role in influencing team creativity. In particular, no research has focused on how the characteristics of a team's technological toolkit-the set of technological tools a team can draw upon to construct its actions-can affect team creativity. I propose that considering the toolkit, rather than just isolated tools, and the multiple functions played by tools is critical to understanding how technology characteristics influence team creativity. I hypothesize that creativity in cross-disciplinary teams is influenced by the size and field diffusion of the team toolkit, with size having a curvilinear relationship with creativity, and diffusion having a positive relationship. Moreover, I hypothesize that these effects will be attenuated when the number of team members who are experts with the focal tool is high. I test and find support for these hypotheses in a study set in the context of the Hollywood animation industry, a knowledge-intensive industry characterized by the presence of cross-disciplinary teams using a variety of technological tools. Theoretical and practical implications of the results are discussed.","author":[{"dropping-particle":"","family":"Mannucci","given":"Pier Vittorio","non-dropping-particle":"","parse-names":false,"suffix":""}],"container-title":"Organization Science","id":"ITEM-2","issue":"4","issued":{"date-parts":[["2017"]]},"page":"711-728","title":"Drawing snow white and animating buzz lightyear: Technological toolkit characteristics and creativity in cross-disciplinary teams","type":"article-journal","volume":"28"},"uris":["http://www.mendeley.com/documents/?uuid=3896583d-e299-4b8b-aede-63e8f92f965d"]},{"id":"ITEM-3","itemData":{"DOI":"10.5465/amj.2018.0283","ISSN":"00014273","abstract":"Although previous research has highlighted the disproportional contributions of star employees to their teams, an emerging line of research has begun to examine the potentially negative consequences of team stars. Drawing on a social model of team creativity, we develop a dualistic model of the influences of team creative stars on team creativity. Specifically, we explore the roles of two types of team members—star and nonstar employees—in driving team creativity. Across two multiwave and multisource field samples, we find that a creative star who occupies a central position in the team workflow network has both a positive direct effect on team creativity and a negative indirect effect on team creativity via reducing nonstars’ learning (i.e., exploratory and exploitative activities). Our study also reveals that team coordination can mitigate the detrimental effect of a star’s centrality on nonstars’ learning behavior, and subsequently buffer the indirect effect on team creativity.","author":[{"dropping-particle":"","family":"Li","given":"Yuan","non-dropping-particle":"","parse-names":false,"suffix":""},{"dropping-particle":"","family":"Li","given":"Ning","non-dropping-particle":"","parse-names":false,"suffix":""},{"dropping-particle":"","family":"Li","given":"Chuanjia","non-dropping-particle":"","parse-names":false,"suffix":""},{"dropping-particle":"","family":"Li","given":"Jingyu","non-dropping-particle":"","parse-names":false,"suffix":""}],"container-title":"Academy of Management Journal","id":"ITEM-3","issue":"2","issued":{"date-parts":[["2020"]]},"page":"613-635","title":"The boon and bane of creative “stars”: A social network exploration of how and when team creativity is (and is not) driven by a star teammate","type":"article-journal","volume":"63"},"uris":["http://www.mendeley.com/documents/?uuid=04042e09-85d9-4b55-a554-13fa609202b6"]}],"mendeley":{"formattedCitation":"(Harvey, 2014; Li et al., 2020; Mannucci, 2017)","manualFormatting":"(e.g., Harvey, 2014; Li et al., 2020; Mannucci, 2017)","plainTextFormattedCitation":"(Harvey, 2014; Li et al., 2020; Mannucci, 2017)","previouslyFormattedCitation":"(Harvey, 2014; Li et al., 2020; Mannucci, 2017)"},"properties":{"noteIndex":0},"schema":"https://github.com/citation-style-language/schema/raw/master/csl-citation.json"}</w:instrText>
      </w:r>
      <w:r w:rsidR="00644244">
        <w:fldChar w:fldCharType="separate"/>
      </w:r>
      <w:r w:rsidR="00644244" w:rsidRPr="00CA597B">
        <w:rPr>
          <w:noProof/>
        </w:rPr>
        <w:t>(</w:t>
      </w:r>
      <w:r w:rsidR="00644244">
        <w:rPr>
          <w:noProof/>
        </w:rPr>
        <w:t xml:space="preserve">e.g., </w:t>
      </w:r>
      <w:r w:rsidR="00644244" w:rsidRPr="00CA597B">
        <w:rPr>
          <w:noProof/>
        </w:rPr>
        <w:t>Harvey, 2014; Li et al., 2020; Mannucci, 2017)</w:t>
      </w:r>
      <w:r w:rsidR="00644244">
        <w:fldChar w:fldCharType="end"/>
      </w:r>
      <w:r w:rsidR="00644244">
        <w:t xml:space="preserve">. </w:t>
      </w:r>
    </w:p>
    <w:p w14:paraId="3504189C" w14:textId="6D1D78AA" w:rsidR="00DB6E04" w:rsidRPr="00E91724" w:rsidRDefault="00DB6E04" w:rsidP="00E91724">
      <w:pPr>
        <w:pStyle w:val="Heading2"/>
      </w:pPr>
      <w:r w:rsidRPr="00E91724">
        <w:t>Practical implications</w:t>
      </w:r>
    </w:p>
    <w:p w14:paraId="402A9036" w14:textId="15474942" w:rsidR="0027505B" w:rsidRDefault="0039527A" w:rsidP="00E91724">
      <w:r w:rsidRPr="006021E7">
        <w:t>Our findings are also of high practical relevanc</w:t>
      </w:r>
      <w:r w:rsidR="0027505B">
        <w:t xml:space="preserve">e. </w:t>
      </w:r>
      <w:r w:rsidR="002708AE">
        <w:t>First, o</w:t>
      </w:r>
      <w:r w:rsidR="00D94FC6">
        <w:t xml:space="preserve">ur findings imply </w:t>
      </w:r>
      <w:r w:rsidRPr="006021E7">
        <w:t>that a special emphasis on</w:t>
      </w:r>
      <w:r w:rsidR="00B34799">
        <w:t xml:space="preserve"> identifying and</w:t>
      </w:r>
      <w:r w:rsidRPr="006021E7">
        <w:t xml:space="preserve"> advancing the progress and special skills of female </w:t>
      </w:r>
      <w:r w:rsidRPr="006021E7">
        <w:lastRenderedPageBreak/>
        <w:t>knowledge workers may be fruitful for organizations and society.</w:t>
      </w:r>
      <w:r w:rsidR="00170FFA">
        <w:t xml:space="preserve"> </w:t>
      </w:r>
      <w:r w:rsidR="00F34284">
        <w:t xml:space="preserve">Our study shows that the </w:t>
      </w:r>
      <w:r w:rsidR="00170FFA">
        <w:t>characteristics and behaviors</w:t>
      </w:r>
      <w:r w:rsidR="00F34284">
        <w:t xml:space="preserve"> displayed by female stars, on average,</w:t>
      </w:r>
      <w:r w:rsidR="00170FFA">
        <w:t xml:space="preserve"> present advantages for </w:t>
      </w:r>
      <w:r w:rsidR="00F34284">
        <w:t xml:space="preserve">teams’ </w:t>
      </w:r>
      <w:r w:rsidR="00170FFA">
        <w:t>knowledge</w:t>
      </w:r>
      <w:r w:rsidR="00BC1FAC">
        <w:t xml:space="preserve"> recombination</w:t>
      </w:r>
      <w:r w:rsidR="00170FFA">
        <w:t xml:space="preserve"> outcomes</w:t>
      </w:r>
      <w:r w:rsidR="00F34284">
        <w:t>.</w:t>
      </w:r>
      <w:r w:rsidRPr="006021E7">
        <w:t xml:space="preserve"> </w:t>
      </w:r>
      <w:r w:rsidR="00F34284">
        <w:t>By</w:t>
      </w:r>
      <w:r w:rsidR="00F34284" w:rsidRPr="006021E7">
        <w:t xml:space="preserve"> </w:t>
      </w:r>
      <w:r w:rsidRPr="006021E7">
        <w:t>better understanding where these differences come</w:t>
      </w:r>
      <w:r w:rsidR="00617410">
        <w:t xml:space="preserve"> from</w:t>
      </w:r>
      <w:r w:rsidR="00F34284">
        <w:t>, organization</w:t>
      </w:r>
      <w:r w:rsidR="00BC1FAC">
        <w:t>s</w:t>
      </w:r>
      <w:r w:rsidR="00F34284">
        <w:t xml:space="preserve"> can</w:t>
      </w:r>
      <w:r w:rsidRPr="006021E7">
        <w:t xml:space="preserve"> leverage the untapped potential of women who are largely underrepresented among star knowledge workers.</w:t>
      </w:r>
      <w:r w:rsidR="002708AE">
        <w:t xml:space="preserve"> </w:t>
      </w:r>
    </w:p>
    <w:p w14:paraId="78F5FE59" w14:textId="57EF844D" w:rsidR="0027505B" w:rsidRDefault="002708AE" w:rsidP="00E91724">
      <w:r>
        <w:t>Second, consistent with prior work</w:t>
      </w:r>
      <w:r w:rsidR="00AD2B67">
        <w:t xml:space="preserve"> </w:t>
      </w:r>
      <w:r w:rsidR="00AD2B67">
        <w:fldChar w:fldCharType="begin" w:fldLock="1"/>
      </w:r>
      <w:r w:rsidR="00814EAA">
        <w:instrText>ADDIN CSL_CITATION {"citationItems":[{"id":"ITEM-1","itemData":{"DOI":"10.1002/smj.2758","ISSN":"10970266","abstract":"Research Summary: While research has focused primarily on stars as individual contributors, we examine organizational situations where stars must work closely with non-stars. We argue that, in such situations, building teamwork around a star is an exercise in learning under complexity. In response, organizations prioritize interactions involving the star to simplify learning. This simplification, however, creates organizational myopia. We claim that a star’s temporary absence helps the organization overcome myopia by triggering a search for new routines. When he returns, the organization may combine these new routines with pre-absence routines to improve teamwork and performance. We exploit injuries to star players in the National Basketball Association as an exogenous shock and find that on average, teams perform better after a star’s return than before his absence. Managerial Summary: This study examines the effect of the temporary absence of a star evidence that a star employee’s temporary absence helps the organization overcome an over-reliance on the star and improve teamwork. Improved teamwork, in turn, enables the organization to perform better upon the star’s return than it did prior to his absence. This result suggests that organizations might want to revisit the tendency to view stars as too valuable to lose, even for a short time. In particular, organizations may want to pull stars from ongoing projects and encourage them to attend professional development programs. A star’s temporary absence and return from such a program improves not only the star’s skills but also the organization’s teamwork.","author":[{"dropping-particle":"","family":"Chen","given":"John S.","non-dropping-particle":"","parse-names":false,"suffix":""},{"dropping-particle":"","family":"Garg","given":"Pranav","non-dropping-particle":"","parse-names":false,"suffix":""}],"container-title":"Strategic Management Journal","id":"ITEM-1","issue":"5","issued":{"date-parts":[["2018","5","1"]]},"page":"1239-1267","publisher":"John Wiley and Sons Ltd","title":"Dancing with the stars: Benefits of a star employee’s temporary absence for organizational performance","type":"article-journal","volume":"39"},"uris":["http://www.mendeley.com/documents/?uuid=58ca222c-36e0-3a31-847a-c5735491d9f8"]},{"id":"ITEM-2","itemData":{"DOI":"10.1002/smj.2240","ISBN":"1097-0266","ISSN":"10970266","PMID":"875962929","abstract":"Do star employees enhance or constrain the innovative performance of an organization? Using data from 456 biotechnology firms between 1973 and 2003, we highlight the duality of the effects that stars have on firm performance. We show that while stars positively affect firms' productivity, their presence constrains the emergence of other innovative leaders in an organization. We find that firm productivity and innovative leadership among non-stars in a firm are greatest when a star has broad expertise and collaborates frequently. We offer cross-disciplinary insights into the role of human capital as a source of competitive advantage, suggesting that the value of human capital in a firm is contingent on the mutual dependence inherent in high-status employees' relationships with other individuals in a firm.","author":[{"dropping-particle":"","family":"Kehoe","given":"Rebecca R.","non-dropping-particle":"","parse-names":false,"suffix":""},{"dropping-particle":"","family":"Tzabbar","given":"Daniel","non-dropping-particle":"","parse-names":false,"suffix":""}],"container-title":"Strategic Management Journal","id":"ITEM-2","issue":"5","issued":{"date-parts":[["2015"]]},"page":"709-727","title":"Lighting the way or stealing the shine? An examination of the duality in star scientists' effects on firm innovative performance","type":"article-journal","volume":"36"},"uris":["http://www.mendeley.com/documents/?uuid=b43a5f5b-03f3-4373-ba36-1dde3a9092f1"]},{"id":"ITEM-3","itemData":{"ISSN":"0149-2063","author":[{"dropping-particle":"","family":"Tzabbar","given":"Daniel","non-dropping-particle":"","parse-names":false,"suffix":""},{"dropping-particle":"","family":"Kehoe","given":"Rebecca R.","non-dropping-particle":"","parse-names":false,"suffix":""}],"container-title":"Journal of Management","id":"ITEM-3","issue":"2","issued":{"date-parts":[["2014","2","21"]]},"page":"449-482","title":"Can opportunity emerge from disarray? An examination of exploration and exploitation following star scientist turnover","type":"article-journal","volume":"40"},"uris":["http://www.mendeley.com/documents/?uuid=a0fd0ca0-6742-3f26-ac53-9ca3b2a55be2"]}],"mendeley":{"formattedCitation":"(Chen &amp; Garg, 2018; Kehoe &amp; Tzabbar, 2015; Tzabbar &amp; Kehoe, 2014)","plainTextFormattedCitation":"(Chen &amp; Garg, 2018; Kehoe &amp; Tzabbar, 2015; Tzabbar &amp; Kehoe, 2014)","previouslyFormattedCitation":"(Chen &amp; Garg, 2018; Kehoe &amp; Tzabbar, 2015; Tzabbar &amp; Kehoe, 2014)"},"properties":{"noteIndex":0},"schema":"https://github.com/citation-style-language/schema/raw/master/csl-citation.json"}</w:instrText>
      </w:r>
      <w:r w:rsidR="00AD2B67">
        <w:fldChar w:fldCharType="separate"/>
      </w:r>
      <w:r w:rsidR="00814EAA" w:rsidRPr="00814EAA">
        <w:rPr>
          <w:noProof/>
        </w:rPr>
        <w:t>(Chen &amp; Garg, 2018; Kehoe &amp; Tzabbar, 2015; Tzabbar &amp; Kehoe, 2014)</w:t>
      </w:r>
      <w:r w:rsidR="00AD2B67">
        <w:fldChar w:fldCharType="end"/>
      </w:r>
      <w:r>
        <w:t xml:space="preserve">, our findings emphasize that stars represent a double-edged sword for organizations in that </w:t>
      </w:r>
      <w:r w:rsidR="009D4D86">
        <w:t>they</w:t>
      </w:r>
      <w:r>
        <w:t xml:space="preserve"> can both facilitate and hinder different aspects of knowledge recombination. </w:t>
      </w:r>
      <w:r w:rsidR="00172923">
        <w:t>O</w:t>
      </w:r>
      <w:r w:rsidR="000927B6">
        <w:t xml:space="preserve">ur study draws </w:t>
      </w:r>
      <w:r w:rsidR="006D5CD0">
        <w:t xml:space="preserve">particular </w:t>
      </w:r>
      <w:r w:rsidR="000927B6">
        <w:t xml:space="preserve">attention </w:t>
      </w:r>
      <w:r w:rsidR="006D5CD0">
        <w:t xml:space="preserve">to stars’ </w:t>
      </w:r>
      <w:r w:rsidR="000927B6">
        <w:t>gender</w:t>
      </w:r>
      <w:r w:rsidR="006D5CD0">
        <w:t>.</w:t>
      </w:r>
      <w:r w:rsidR="000927B6">
        <w:t xml:space="preserve"> </w:t>
      </w:r>
      <w:r w:rsidR="00613C0E">
        <w:t>T</w:t>
      </w:r>
      <w:r>
        <w:t xml:space="preserve">o fully utilize the potential </w:t>
      </w:r>
      <w:r w:rsidR="00613C0E">
        <w:t xml:space="preserve">of </w:t>
      </w:r>
      <w:r>
        <w:t xml:space="preserve">stars in teams, organizations should strive to balance the benefits that </w:t>
      </w:r>
      <w:r w:rsidR="00602081">
        <w:t>male versus female stars represent against their potential limitations</w:t>
      </w:r>
      <w:r w:rsidR="009D4D86">
        <w:t>.</w:t>
      </w:r>
      <w:r w:rsidR="00602081">
        <w:t xml:space="preserve"> For example, </w:t>
      </w:r>
      <w:r w:rsidR="0059038A">
        <w:t xml:space="preserve">knowledge recombination in teams with male stars may benefit from systematic measures designed to enhance </w:t>
      </w:r>
      <w:r w:rsidR="00172923">
        <w:t>the integration</w:t>
      </w:r>
      <w:r w:rsidR="006D5CD0">
        <w:t xml:space="preserve"> of knowledge </w:t>
      </w:r>
      <w:r w:rsidR="0059038A">
        <w:fldChar w:fldCharType="begin" w:fldLock="1"/>
      </w:r>
      <w:r w:rsidR="00814EAA">
        <w:instrText>ADDIN CSL_CITATION {"citationItems":[{"id":"ITEM-1","itemData":{"DOI":"10.5465/amj.2018.0283","ISSN":"00014273","abstract":"Although previous research has highlighted the disproportional contributions of star employees to their teams, an emerging line of research has begun to examine the potentially negative consequences of team stars. Drawing on a social model of team creativity, we develop a dualistic model of the influences of team creative stars on team creativity. Specifically, we explore the roles of two types of team members—star and nonstar employees—in driving team creativity. Across two multiwave and multisource field samples, we find that a creative star who occupies a central position in the team workflow network has both a positive direct effect on team creativity and a negative indirect effect on team creativity via reducing nonstars’ learning (i.e., exploratory and exploitative activities). Our study also reveals that team coordination can mitigate the detrimental effect of a star’s centrality on nonstars’ learning behavior, and subsequently buffer the indirect effect on team creativity.","author":[{"dropping-particle":"","family":"Li","given":"Yuan","non-dropping-particle":"","parse-names":false,"suffix":""},{"dropping-particle":"","family":"Li","given":"Ning","non-dropping-particle":"","parse-names":false,"suffix":""},{"dropping-particle":"","family":"Li","given":"Chuanjia","non-dropping-particle":"","parse-names":false,"suffix":""},{"dropping-particle":"","family":"Li","given":"Jingyu","non-dropping-particle":"","parse-names":false,"suffix":""}],"container-title":"Academy of Management Journal","id":"ITEM-1","issue":"2","issued":{"date-parts":[["2020"]]},"page":"613-635","title":"The boon and bane of creative “stars”: A social network exploration of how and when team creativity is (and is not) driven by a star teammate","type":"article-journal","volume":"63"},"uris":["http://www.mendeley.com/documents/?uuid=04042e09-85d9-4b55-a554-13fa609202b6"]}],"mendeley":{"formattedCitation":"(Li et al., 2020)","plainTextFormattedCitation":"(Li et al., 2020)","previouslyFormattedCitation":"(Li et al., 2020)"},"properties":{"noteIndex":0},"schema":"https://github.com/citation-style-language/schema/raw/master/csl-citation.json"}</w:instrText>
      </w:r>
      <w:r w:rsidR="0059038A">
        <w:fldChar w:fldCharType="separate"/>
      </w:r>
      <w:r w:rsidR="00814EAA" w:rsidRPr="00814EAA">
        <w:rPr>
          <w:noProof/>
        </w:rPr>
        <w:t>(Li et al., 2020)</w:t>
      </w:r>
      <w:r w:rsidR="0059038A">
        <w:fldChar w:fldCharType="end"/>
      </w:r>
      <w:r w:rsidR="0059038A">
        <w:t xml:space="preserve">. </w:t>
      </w:r>
      <w:r w:rsidR="006D5CD0">
        <w:t>M</w:t>
      </w:r>
      <w:r w:rsidR="00892A04">
        <w:t xml:space="preserve">anagers may improve knowledge recombination breadth in </w:t>
      </w:r>
      <w:r w:rsidR="006D5CD0">
        <w:t>such teams</w:t>
      </w:r>
      <w:r w:rsidR="00892A04">
        <w:t xml:space="preserve"> by encouraging stars to mo</w:t>
      </w:r>
      <w:r w:rsidR="008903D8">
        <w:t>r</w:t>
      </w:r>
      <w:r w:rsidR="00892A04">
        <w:t xml:space="preserve">e frequently </w:t>
      </w:r>
      <w:r w:rsidR="00172923">
        <w:t xml:space="preserve">display </w:t>
      </w:r>
      <w:r w:rsidR="001778F7">
        <w:t xml:space="preserve">behaviors that express </w:t>
      </w:r>
      <w:r w:rsidR="00172923">
        <w:t>interpersonal sensitiv</w:t>
      </w:r>
      <w:r w:rsidR="001778F7">
        <w:t>ity</w:t>
      </w:r>
      <w:r w:rsidR="00172923">
        <w:t xml:space="preserve"> </w:t>
      </w:r>
      <w:r w:rsidR="001778F7">
        <w:t>and approachability.</w:t>
      </w:r>
    </w:p>
    <w:p w14:paraId="2684610C" w14:textId="332C0F7C" w:rsidR="00F22311" w:rsidRDefault="00892A04" w:rsidP="00476599">
      <w:r>
        <w:t xml:space="preserve">Third, our findings suggest that organizations should pay particular attention to the knowledge bases of non-star team members as sources of new and unique ideas. </w:t>
      </w:r>
      <w:r w:rsidR="00425AD5">
        <w:t xml:space="preserve">Prior work has highlighted the danger of overreliance on stars’ knowledge bases in teams </w:t>
      </w:r>
      <w:r w:rsidR="00425AD5">
        <w:fldChar w:fldCharType="begin" w:fldLock="1"/>
      </w:r>
      <w:r w:rsidR="00814EAA">
        <w:instrText>ADDIN CSL_CITATION {"citationItems":[{"id":"ITEM-1","itemData":{"DOI":"10.1002/smj.2240","ISBN":"1097-0266","ISSN":"10970266","PMID":"875962929","abstract":"Do star employees enhance or constrain the innovative performance of an organization? Using data from 456 biotechnology firms between 1973 and 2003, we highlight the duality of the effects that stars have on firm performance. We show that while stars positively affect firms' productivity, their presence constrains the emergence of other innovative leaders in an organization. We find that firm productivity and innovative leadership among non-stars in a firm are greatest when a star has broad expertise and collaborates frequently. We offer cross-disciplinary insights into the role of human capital as a source of competitive advantage, suggesting that the value of human capital in a firm is contingent on the mutual dependence inherent in high-status employees' relationships with other individuals in a firm.","author":[{"dropping-particle":"","family":"Kehoe","given":"Rebecca R.","non-dropping-particle":"","parse-names":false,"suffix":""},{"dropping-particle":"","family":"Tzabbar","given":"Daniel","non-dropping-particle":"","parse-names":false,"suffix":""}],"container-title":"Strategic Management Journal","id":"ITEM-1","issue":"5","issued":{"date-parts":[["2015"]]},"page":"709-727","title":"Lighting the way or stealing the shine? An examination of the duality in star scientists' effects on firm innovative performance","type":"article-journal","volume":"36"},"uris":["http://www.mendeley.com/documents/?uuid=b43a5f5b-03f3-4373-ba36-1dde3a9092f1"]},{"id":"ITEM-2","itemData":{"DOI":"10.1002/smj.2758","ISSN":"10970266","abstract":"Research Summary: While research has focused primarily on stars as individual contributors, we examine organizational situations where stars must work closely with non-stars. We argue that, in such situations, building teamwork around a star is an exercise in learning under complexity. In response, organizations prioritize interactions involving the star to simplify learning. This simplification, however, creates organizational myopia. We claim that a star’s temporary absence helps the organization overcome myopia by triggering a search for new routines. When he returns, the organization may combine these new routines with pre-absence routines to improve teamwork and performance. We exploit injuries to star players in the National Basketball Association as an exogenous shock and find that on average, teams perform better after a star’s return than before his absence. Managerial Summary: This study examines the effect of the temporary absence of a star evidence that a star employee’s temporary absence helps the organization overcome an over-reliance on the star and improve teamwork. Improved teamwork, in turn, enables the organization to perform better upon the star’s return than it did prior to his absence. This result suggests that organizations might want to revisit the tendency to view stars as too valuable to lose, even for a short time. In particular, organizations may want to pull stars from ongoing projects and encourage them to attend professional development programs. A star’s temporary absence and return from such a program improves not only the star’s skills but also the organization’s teamwork.","author":[{"dropping-particle":"","family":"Chen","given":"John S.","non-dropping-particle":"","parse-names":false,"suffix":""},{"dropping-particle":"","family":"Garg","given":"Pranav","non-dropping-particle":"","parse-names":false,"suffix":""}],"container-title":"Strategic Management Journal","id":"ITEM-2","issue":"5","issued":{"date-parts":[["2018","5","1"]]},"page":"1239-1267","publisher":"John Wiley and Sons Ltd","title":"Dancing with the stars: Benefits of a star employee’s temporary absence for organizational performance","type":"article-journal","volume":"39"},"uris":["http://www.mendeley.com/documents/?uuid=58ca222c-36e0-3a31-847a-c5735491d9f8"]},{"id":"ITEM-3","itemData":{"ISSN":"0149-2063","author":[{"dropping-particle":"","family":"Tzabbar","given":"Daniel","non-dropping-particle":"","parse-names":false,"suffix":""},{"dropping-particle":"","family":"Kehoe","given":"Rebecca R.","non-dropping-particle":"","parse-names":false,"suffix":""}],"container-title":"Journal of Management","id":"ITEM-3","issue":"2","issued":{"date-parts":[["2014","2","21"]]},"page":"449-482","title":"Can opportunity emerge from disarray? An examination of exploration and exploitation following star scientist turnover","type":"article-journal","volume":"40"},"uris":["http://www.mendeley.com/documents/?uuid=a0fd0ca0-6742-3f26-ac53-9ca3b2a55be2"]}],"mendeley":{"formattedCitation":"(Chen &amp; Garg, 2018; Kehoe &amp; Tzabbar, 2015; Tzabbar &amp; Kehoe, 2014)","plainTextFormattedCitation":"(Chen &amp; Garg, 2018; Kehoe &amp; Tzabbar, 2015; Tzabbar &amp; Kehoe, 2014)","previouslyFormattedCitation":"(Chen &amp; Garg, 2018; Kehoe &amp; Tzabbar, 2015; Tzabbar &amp; Kehoe, 2014)"},"properties":{"noteIndex":0},"schema":"https://github.com/citation-style-language/schema/raw/master/csl-citation.json"}</w:instrText>
      </w:r>
      <w:r w:rsidR="00425AD5">
        <w:fldChar w:fldCharType="separate"/>
      </w:r>
      <w:r w:rsidR="00814EAA" w:rsidRPr="00814EAA">
        <w:rPr>
          <w:noProof/>
        </w:rPr>
        <w:t>(Chen &amp; Garg, 2018; Kehoe &amp; Tzabbar, 2015; Tzabbar &amp; Kehoe, 2014)</w:t>
      </w:r>
      <w:r w:rsidR="00425AD5">
        <w:fldChar w:fldCharType="end"/>
      </w:r>
      <w:r w:rsidR="003A7479">
        <w:t>.</w:t>
      </w:r>
      <w:r w:rsidR="00425AD5">
        <w:t xml:space="preserve"> Our findings </w:t>
      </w:r>
      <w:r w:rsidR="001778F7">
        <w:t>suggest that</w:t>
      </w:r>
      <w:r w:rsidR="00725670">
        <w:t>, especially when the team includes a male star</w:t>
      </w:r>
      <w:r w:rsidR="006C3781">
        <w:t>,</w:t>
      </w:r>
      <w:r w:rsidR="00D820EB">
        <w:t xml:space="preserve"> special emphasis should be placed on </w:t>
      </w:r>
      <w:r w:rsidR="001778F7">
        <w:t>exploring and integrating t</w:t>
      </w:r>
      <w:r w:rsidR="00D820EB">
        <w:t xml:space="preserve">he unique knowledge bases of </w:t>
      </w:r>
      <w:r w:rsidR="003F3A54">
        <w:t>all</w:t>
      </w:r>
      <w:r w:rsidR="00D820EB">
        <w:t xml:space="preserve"> team members</w:t>
      </w:r>
      <w:r w:rsidR="008F582F">
        <w:t>,</w:t>
      </w:r>
      <w:r w:rsidR="00F22311">
        <w:t xml:space="preserve"> </w:t>
      </w:r>
      <w:r w:rsidR="000238A9">
        <w:t>since</w:t>
      </w:r>
      <w:r w:rsidR="00F22311">
        <w:t xml:space="preserve"> </w:t>
      </w:r>
      <w:r w:rsidR="00476599">
        <w:t>novel ideas and diverse knowledge</w:t>
      </w:r>
      <w:r w:rsidR="00F22311">
        <w:t xml:space="preserve"> may </w:t>
      </w:r>
      <w:r w:rsidR="008F582F">
        <w:t xml:space="preserve">not </w:t>
      </w:r>
      <w:r w:rsidR="00F22311">
        <w:t xml:space="preserve">otherwise </w:t>
      </w:r>
      <w:r w:rsidR="00476599">
        <w:t>be ex</w:t>
      </w:r>
      <w:r w:rsidR="00014F75">
        <w:t>changed</w:t>
      </w:r>
      <w:r w:rsidR="00476599">
        <w:t xml:space="preserve"> and integrated</w:t>
      </w:r>
      <w:r w:rsidR="00F22311">
        <w:t xml:space="preserve"> in such teams</w:t>
      </w:r>
      <w:r w:rsidR="00014F75">
        <w:t xml:space="preserve"> to the same extent as in teams with female stars</w:t>
      </w:r>
      <w:r w:rsidR="001778F7">
        <w:t>.</w:t>
      </w:r>
    </w:p>
    <w:p w14:paraId="4652EB99" w14:textId="77777777" w:rsidR="00476599" w:rsidRDefault="00476599" w:rsidP="00014F75">
      <w:pPr>
        <w:ind w:firstLine="0"/>
      </w:pPr>
    </w:p>
    <w:p w14:paraId="58FC8B83" w14:textId="7845BD84" w:rsidR="0039527A" w:rsidRPr="00BE3F14" w:rsidRDefault="0039527A" w:rsidP="002E4201">
      <w:pPr>
        <w:pStyle w:val="Heading2"/>
      </w:pPr>
      <w:r w:rsidRPr="00BE3F14">
        <w:lastRenderedPageBreak/>
        <w:t>Limitations and directions for future research</w:t>
      </w:r>
    </w:p>
    <w:p w14:paraId="015DA458" w14:textId="3FA86658" w:rsidR="009D4D86" w:rsidRDefault="0039527A" w:rsidP="005A2721">
      <w:r w:rsidRPr="00BE3F14">
        <w:t xml:space="preserve">As with most empirical undertakings, our study comes with limitations that provide opportunities for future research. First, the usual concern with using patent data is that only patented inventions can be observed and not projects that failed. Since </w:t>
      </w:r>
      <w:r w:rsidR="003E2862" w:rsidRPr="00BE3F14">
        <w:t xml:space="preserve">failed patents are </w:t>
      </w:r>
      <w:r w:rsidRPr="00BE3F14">
        <w:t xml:space="preserve">not captured by our dependent variable, a systematic difference in the failing rate between teams with female and male stars </w:t>
      </w:r>
      <w:r w:rsidR="00C3283E">
        <w:t>c</w:t>
      </w:r>
      <w:r w:rsidRPr="00BE3F14">
        <w:t xml:space="preserve">ould be problematic but seems unlikely given our focus on highly successful inventors. </w:t>
      </w:r>
    </w:p>
    <w:p w14:paraId="71C7F1C4" w14:textId="280A30FF" w:rsidR="009D4D86" w:rsidRDefault="00833EA7" w:rsidP="005A2721">
      <w:r>
        <w:t>A</w:t>
      </w:r>
      <w:r w:rsidR="003E2862" w:rsidRPr="00BE3F14">
        <w:t xml:space="preserve">lthough we </w:t>
      </w:r>
      <w:r w:rsidR="00A56FA6">
        <w:t>use a</w:t>
      </w:r>
      <w:r w:rsidR="003E2862" w:rsidRPr="00BE3F14">
        <w:t xml:space="preserve"> matching approach to minimize differences in team composition</w:t>
      </w:r>
      <w:r w:rsidR="002865F6">
        <w:t xml:space="preserve">, </w:t>
      </w:r>
      <w:r w:rsidR="002865F6" w:rsidRPr="00BE3F14">
        <w:t>include several star-related controls in our analyses</w:t>
      </w:r>
      <w:r w:rsidR="002865F6">
        <w:t>, and provide an instrumental variable analysis</w:t>
      </w:r>
      <w:r w:rsidR="00207261" w:rsidRPr="00BE3F14">
        <w:t>,</w:t>
      </w:r>
      <w:r w:rsidR="002865F6">
        <w:t xml:space="preserve"> our data do not offer a random treatment allocation which would allow us to</w:t>
      </w:r>
      <w:r w:rsidR="00207261" w:rsidRPr="00BE3F14">
        <w:t xml:space="preserve"> </w:t>
      </w:r>
      <w:r w:rsidR="002E4201">
        <w:t>uncover causal relationships</w:t>
      </w:r>
      <w:r w:rsidR="0039527A" w:rsidRPr="00BE3F14">
        <w:t>.</w:t>
      </w:r>
      <w:r w:rsidR="00197650">
        <w:t xml:space="preserve"> </w:t>
      </w:r>
      <w:r w:rsidR="003801F2">
        <w:t>Therefore, the potential to infer causality from our study is constrained by the data and design, and future research may aim to confirm our findings using data from random or quasi-random designs.</w:t>
      </w:r>
      <w:r w:rsidR="0039527A" w:rsidRPr="00BE3F14">
        <w:t xml:space="preserve"> </w:t>
      </w:r>
    </w:p>
    <w:p w14:paraId="5A6352EE" w14:textId="4D7E18E2" w:rsidR="009D4D86" w:rsidRDefault="00833EA7" w:rsidP="005A2721">
      <w:r>
        <w:t>T</w:t>
      </w:r>
      <w:r w:rsidR="0039527A" w:rsidRPr="00BE3F14">
        <w:t xml:space="preserve">he measures we used to identify stars and to capture </w:t>
      </w:r>
      <w:r w:rsidR="00BE3F14" w:rsidRPr="00BE3F14">
        <w:t>knowledge recombination breadth</w:t>
      </w:r>
      <w:r w:rsidR="0039527A" w:rsidRPr="00BE3F14">
        <w:t xml:space="preserve"> have some limitations. While being in line with prior literature, finding a cut-off point beyond which the performance of an individual qualifies for stardom is always arbitrary. </w:t>
      </w:r>
      <w:r w:rsidR="0039527A" w:rsidRPr="00656447">
        <w:t>Also,</w:t>
      </w:r>
      <w:r w:rsidR="00656447" w:rsidRPr="00656447">
        <w:t xml:space="preserve"> </w:t>
      </w:r>
      <w:r w:rsidR="00766315">
        <w:t xml:space="preserve">while we consider </w:t>
      </w:r>
      <w:r w:rsidR="00656447" w:rsidRPr="00656447">
        <w:t>our</w:t>
      </w:r>
      <w:r w:rsidR="00BE3F14" w:rsidRPr="00656447">
        <w:t xml:space="preserve"> </w:t>
      </w:r>
      <w:r w:rsidR="00766315">
        <w:t xml:space="preserve">choice of the measure for </w:t>
      </w:r>
      <w:r w:rsidR="00BE3F14" w:rsidRPr="00656447">
        <w:t>knowledge recombination</w:t>
      </w:r>
      <w:r w:rsidR="00656447" w:rsidRPr="00656447">
        <w:t xml:space="preserve"> breadth</w:t>
      </w:r>
      <w:r w:rsidR="00766315">
        <w:t xml:space="preserve"> justified based on prior literature, this </w:t>
      </w:r>
      <w:r w:rsidR="007F2991">
        <w:t xml:space="preserve">is </w:t>
      </w:r>
      <w:r w:rsidR="00766315">
        <w:t>not the sole way of measuring</w:t>
      </w:r>
      <w:r w:rsidR="00656447" w:rsidRPr="00656447">
        <w:t xml:space="preserve"> </w:t>
      </w:r>
      <w:r w:rsidR="00766315">
        <w:t>the breadth or diversity of knowledge recombined, nor is the combination of technological classes in patents itself the only way to proxy knowledge categories integrated in creative outputs.</w:t>
      </w:r>
      <w:r w:rsidR="00CF34AA">
        <w:t xml:space="preserve"> Therefore, it is important that future work replicate</w:t>
      </w:r>
      <w:r w:rsidR="00BD6F40">
        <w:t>s</w:t>
      </w:r>
      <w:r w:rsidR="00CF34AA">
        <w:t xml:space="preserve"> our results in different contexts</w:t>
      </w:r>
      <w:r w:rsidR="003B3D9C">
        <w:t xml:space="preserve">, using different creative outputs and strategies for </w:t>
      </w:r>
      <w:r w:rsidR="0055649E">
        <w:t xml:space="preserve">identifying </w:t>
      </w:r>
      <w:r w:rsidR="003B3D9C">
        <w:t>stars</w:t>
      </w:r>
      <w:r w:rsidR="0066564A">
        <w:t xml:space="preserve"> knowledge workers</w:t>
      </w:r>
      <w:r w:rsidR="00CF34AA">
        <w:t>.</w:t>
      </w:r>
      <w:r w:rsidR="00656447">
        <w:t xml:space="preserve"> </w:t>
      </w:r>
    </w:p>
    <w:p w14:paraId="55FA1073" w14:textId="603D4B40" w:rsidR="009D4D86" w:rsidRDefault="00833EA7" w:rsidP="005A2721">
      <w:r>
        <w:t>W</w:t>
      </w:r>
      <w:r w:rsidR="0039527A" w:rsidRPr="00BE3F14">
        <w:t xml:space="preserve">e discuss various potential differences regarding the </w:t>
      </w:r>
      <w:r w:rsidR="00D1581F">
        <w:t xml:space="preserve">perception, </w:t>
      </w:r>
      <w:r w:rsidR="0039527A" w:rsidRPr="00BE3F14">
        <w:t>characteristics</w:t>
      </w:r>
      <w:r w:rsidR="0066564A">
        <w:t xml:space="preserve">, </w:t>
      </w:r>
      <w:r w:rsidR="00D1581F">
        <w:t xml:space="preserve">and </w:t>
      </w:r>
      <w:r w:rsidR="0039527A" w:rsidRPr="00BE3F14">
        <w:t xml:space="preserve">behavior of male and female stars </w:t>
      </w:r>
      <w:r w:rsidR="00567FDE">
        <w:t xml:space="preserve">and provide some tentative evidence on potential </w:t>
      </w:r>
      <w:r w:rsidR="00567FDE">
        <w:lastRenderedPageBreak/>
        <w:t>mechanisms</w:t>
      </w:r>
      <w:r w:rsidR="005D201C">
        <w:t>.</w:t>
      </w:r>
      <w:r w:rsidR="00567FDE">
        <w:t xml:space="preserve"> </w:t>
      </w:r>
      <w:r w:rsidR="005D201C" w:rsidRPr="00BE3F14">
        <w:t xml:space="preserve">Our </w:t>
      </w:r>
      <w:r w:rsidR="005D201C">
        <w:t xml:space="preserve">main </w:t>
      </w:r>
      <w:r w:rsidR="005D201C" w:rsidRPr="00BE3F14">
        <w:t xml:space="preserve">goal is to </w:t>
      </w:r>
      <w:r w:rsidR="005D201C">
        <w:t>manifest</w:t>
      </w:r>
      <w:r w:rsidR="005D201C" w:rsidRPr="00BE3F14">
        <w:t xml:space="preserve"> the observed differences in outcomes by running a large-scale analysis across industries, years and geographical areas. </w:t>
      </w:r>
      <w:r w:rsidR="005D201C">
        <w:t xml:space="preserve">However, </w:t>
      </w:r>
      <w:r w:rsidR="00691A71">
        <w:t>our data do not allow us to</w:t>
      </w:r>
      <w:r w:rsidR="00BE3F14" w:rsidRPr="00BE3F14">
        <w:t xml:space="preserve"> </w:t>
      </w:r>
      <w:r w:rsidR="00691A71">
        <w:t>fully</w:t>
      </w:r>
      <w:r w:rsidR="00567FDE">
        <w:t xml:space="preserve"> disentangle</w:t>
      </w:r>
      <w:r w:rsidR="0039527A" w:rsidRPr="00BE3F14">
        <w:t xml:space="preserve"> the mechanisms that may lead to the observed difference in </w:t>
      </w:r>
      <w:r w:rsidR="00BE3F14" w:rsidRPr="00BE3F14">
        <w:t>knowledge recombination breadth</w:t>
      </w:r>
      <w:r w:rsidR="0039527A" w:rsidRPr="00BE3F14">
        <w:t xml:space="preserve">. </w:t>
      </w:r>
      <w:r w:rsidR="00AF420C" w:rsidRPr="008F56B9">
        <w:rPr>
          <w:rFonts w:eastAsia="Times New Roman"/>
        </w:rPr>
        <w:t>Furthermore, in reality, the mechanisms may be interrelated</w:t>
      </w:r>
      <w:r w:rsidR="00903309" w:rsidRPr="008F56B9">
        <w:rPr>
          <w:rFonts w:eastAsia="Times New Roman"/>
        </w:rPr>
        <w:t>,</w:t>
      </w:r>
      <w:r w:rsidR="00AF420C" w:rsidRPr="008F56B9">
        <w:rPr>
          <w:rFonts w:eastAsia="Times New Roman"/>
        </w:rPr>
        <w:t xml:space="preserve"> such that knowledge integration and knowledge availability are not completely independent. </w:t>
      </w:r>
      <w:r w:rsidR="0039527A" w:rsidRPr="00BE3F14">
        <w:t xml:space="preserve">Future research may aim at </w:t>
      </w:r>
      <w:r w:rsidR="00814E73">
        <w:t xml:space="preserve">closely </w:t>
      </w:r>
      <w:r w:rsidR="00BE3F14" w:rsidRPr="00BE3F14">
        <w:t>examining</w:t>
      </w:r>
      <w:r w:rsidR="0039527A" w:rsidRPr="00BE3F14">
        <w:t xml:space="preserve"> the underlying mechanisms to better understand the dynamics and differences between teams with female and male stars, </w:t>
      </w:r>
      <w:r w:rsidR="00AA61AA">
        <w:t>potentially</w:t>
      </w:r>
      <w:r w:rsidR="00AA61AA" w:rsidRPr="00BE3F14">
        <w:t xml:space="preserve"> </w:t>
      </w:r>
      <w:r w:rsidR="0039527A" w:rsidRPr="00BE3F14">
        <w:t xml:space="preserve">by conducting qualitative studies at the micro-level or laboratory experiments. </w:t>
      </w:r>
    </w:p>
    <w:p w14:paraId="2EDC706F" w14:textId="31955901" w:rsidR="00833EA7" w:rsidRDefault="00833EA7" w:rsidP="005A2721">
      <w:r>
        <w:t>To designate the gender of star inventors</w:t>
      </w:r>
      <w:r w:rsidR="003433AC">
        <w:t>,</w:t>
      </w:r>
      <w:r>
        <w:t xml:space="preserve"> we rely on their first names. Common problems in the gender designation of Asian names force us to exclude Asian inventors from the sample (see Appendix </w:t>
      </w:r>
      <w:r w:rsidR="003433AC">
        <w:t>1</w:t>
      </w:r>
      <w:r>
        <w:t xml:space="preserve"> for details). The generalizability of our findings is therefore limited to non-Asian inventors, which at the same time opens the door for future research to investigate how cultural norms and different gender roles across countries might influence processes and outcomes in teams with female v</w:t>
      </w:r>
      <w:r w:rsidR="00C77C2F">
        <w:t>ersus</w:t>
      </w:r>
      <w:r>
        <w:t xml:space="preserve"> male star knowledge wor</w:t>
      </w:r>
      <w:r w:rsidR="0066564A">
        <w:t>k</w:t>
      </w:r>
      <w:r>
        <w:t xml:space="preserve">ers. </w:t>
      </w:r>
    </w:p>
    <w:p w14:paraId="6B81091D" w14:textId="64555753" w:rsidR="0039527A" w:rsidRPr="004D00AC" w:rsidRDefault="00CB5C43" w:rsidP="005A2721">
      <w:pPr>
        <w:rPr>
          <w:color w:val="FF0000"/>
        </w:rPr>
      </w:pPr>
      <w:r>
        <w:t>Finally</w:t>
      </w:r>
      <w:r w:rsidR="0039527A" w:rsidRPr="00BE3F14">
        <w:t xml:space="preserve">, it would be insightful to identify </w:t>
      </w:r>
      <w:r w:rsidR="00AA61AA">
        <w:t xml:space="preserve">additional </w:t>
      </w:r>
      <w:r w:rsidR="0039527A" w:rsidRPr="00BE3F14">
        <w:t>contingencies</w:t>
      </w:r>
      <w:r w:rsidR="00BE3F14" w:rsidRPr="00BE3F14">
        <w:t>,</w:t>
      </w:r>
      <w:r w:rsidR="0039527A" w:rsidRPr="00BE3F14">
        <w:t xml:space="preserve"> such as situational factors (e.g., time pressure) or </w:t>
      </w:r>
      <w:r w:rsidR="00BE3F14" w:rsidRPr="00BE3F14">
        <w:t>network characteristics</w:t>
      </w:r>
      <w:r w:rsidR="0039527A" w:rsidRPr="00BE3F14">
        <w:t xml:space="preserve"> (e.g.,</w:t>
      </w:r>
      <w:r w:rsidR="00BE3F14" w:rsidRPr="00BE3F14">
        <w:t xml:space="preserve"> centrality of stars in knowledge networks</w:t>
      </w:r>
      <w:r w:rsidR="0039527A" w:rsidRPr="00BE3F14">
        <w:t xml:space="preserve">) that influence whether teams with female or male stars perform better. Getting closer to these contextual forces may advance our general understanding of team dynamics with stars and the role of star characteristics including but not limited to the star’s gender. </w:t>
      </w:r>
    </w:p>
    <w:p w14:paraId="0EBB1B56" w14:textId="77777777" w:rsidR="003B62BC" w:rsidRDefault="003B62BC" w:rsidP="005A2721"/>
    <w:p w14:paraId="0CB61686" w14:textId="77777777" w:rsidR="00FF0067" w:rsidRDefault="00FF0067">
      <w:pPr>
        <w:spacing w:before="0" w:after="160" w:line="259" w:lineRule="auto"/>
        <w:ind w:firstLine="0"/>
        <w:rPr>
          <w:b/>
          <w:caps/>
        </w:rPr>
      </w:pPr>
      <w:r>
        <w:br w:type="page"/>
      </w:r>
    </w:p>
    <w:p w14:paraId="50478649" w14:textId="24E1FD10" w:rsidR="004240F2" w:rsidRPr="00621225" w:rsidRDefault="003B62BC" w:rsidP="00292634">
      <w:pPr>
        <w:pStyle w:val="Heading1"/>
      </w:pPr>
      <w:r>
        <w:lastRenderedPageBreak/>
        <w:t>REFERENCES</w:t>
      </w:r>
    </w:p>
    <w:p w14:paraId="2D2DE3F2" w14:textId="677DA3E7" w:rsidR="006853B2" w:rsidRPr="006853B2" w:rsidRDefault="00621225" w:rsidP="00A0364C">
      <w:pPr>
        <w:widowControl w:val="0"/>
        <w:autoSpaceDE w:val="0"/>
        <w:autoSpaceDN w:val="0"/>
        <w:adjustRightInd w:val="0"/>
        <w:spacing w:before="0" w:line="240" w:lineRule="auto"/>
        <w:ind w:left="480" w:hanging="480"/>
        <w:rPr>
          <w:noProof/>
        </w:rPr>
      </w:pPr>
      <w:r>
        <w:fldChar w:fldCharType="begin" w:fldLock="1"/>
      </w:r>
      <w:r>
        <w:instrText xml:space="preserve">ADDIN Mendeley Bibliography CSL_BIBLIOGRAPHY </w:instrText>
      </w:r>
      <w:r>
        <w:fldChar w:fldCharType="separate"/>
      </w:r>
      <w:r w:rsidR="006853B2" w:rsidRPr="006853B2">
        <w:rPr>
          <w:noProof/>
        </w:rPr>
        <w:t xml:space="preserve">Acker, J. 1990. Hierarchies, jobs, bodies: A theory of gendered organizations. </w:t>
      </w:r>
      <w:r w:rsidR="006853B2" w:rsidRPr="006853B2">
        <w:rPr>
          <w:b/>
          <w:bCs/>
          <w:i/>
          <w:iCs/>
          <w:noProof/>
        </w:rPr>
        <w:t>Gender &amp; Society</w:t>
      </w:r>
      <w:r w:rsidR="006853B2" w:rsidRPr="006853B2">
        <w:rPr>
          <w:noProof/>
        </w:rPr>
        <w:t>, 4(2): 139–158.</w:t>
      </w:r>
    </w:p>
    <w:p w14:paraId="548E8611"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Adams, R. B., &amp; Funk, P. 2012. Beyond the glass ceiling: Does gender matter? </w:t>
      </w:r>
      <w:r w:rsidRPr="006853B2">
        <w:rPr>
          <w:b/>
          <w:bCs/>
          <w:i/>
          <w:iCs/>
          <w:noProof/>
        </w:rPr>
        <w:t>Management Science</w:t>
      </w:r>
      <w:r w:rsidRPr="006853B2">
        <w:rPr>
          <w:noProof/>
        </w:rPr>
        <w:t>, 58(2): 219–235.</w:t>
      </w:r>
    </w:p>
    <w:p w14:paraId="7ABA1B21"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Agrawal, A., Cockburn, I., &amp; McHale, J. 2006. Gone but not forgotten: Knowledge flows, labor mobility, and enduring social relationships. </w:t>
      </w:r>
      <w:r w:rsidRPr="006853B2">
        <w:rPr>
          <w:b/>
          <w:bCs/>
          <w:i/>
          <w:iCs/>
          <w:noProof/>
        </w:rPr>
        <w:t>Journal of Economic Geography</w:t>
      </w:r>
      <w:r w:rsidRPr="006853B2">
        <w:rPr>
          <w:noProof/>
        </w:rPr>
        <w:t>, 6(5): 571–591.</w:t>
      </w:r>
    </w:p>
    <w:p w14:paraId="50AFC2D7"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Anderson, C., John, O. P., Keltner, D., &amp; Kring, A. M. 2001. Who attains social status? Effects of personality and physical attractiveness in social groups. </w:t>
      </w:r>
      <w:r w:rsidRPr="006853B2">
        <w:rPr>
          <w:b/>
          <w:bCs/>
          <w:i/>
          <w:iCs/>
          <w:noProof/>
        </w:rPr>
        <w:t>Journal of Personality and Social Psychology</w:t>
      </w:r>
      <w:r w:rsidRPr="006853B2">
        <w:rPr>
          <w:noProof/>
        </w:rPr>
        <w:t>, 81(1): 116–132.</w:t>
      </w:r>
    </w:p>
    <w:p w14:paraId="01D283B5"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Anthony, C. 2018. To question or accept? How status differences influence responses to new epistemic technologies in knowledge work. </w:t>
      </w:r>
      <w:r w:rsidRPr="006853B2">
        <w:rPr>
          <w:b/>
          <w:bCs/>
          <w:i/>
          <w:iCs/>
          <w:noProof/>
        </w:rPr>
        <w:t>Academy of Management Review</w:t>
      </w:r>
      <w:r w:rsidRPr="006853B2">
        <w:rPr>
          <w:noProof/>
        </w:rPr>
        <w:t>, 43(4): 661–679.</w:t>
      </w:r>
    </w:p>
    <w:p w14:paraId="041362D1"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Argote, L., Aven, B. L., &amp; Kush, J. 2018. The effects of communication networks and turnover on transactive memory and group performance. </w:t>
      </w:r>
      <w:r w:rsidRPr="006853B2">
        <w:rPr>
          <w:b/>
          <w:bCs/>
          <w:i/>
          <w:iCs/>
          <w:noProof/>
        </w:rPr>
        <w:t>Organization Science</w:t>
      </w:r>
      <w:r w:rsidRPr="006853B2">
        <w:rPr>
          <w:noProof/>
        </w:rPr>
        <w:t>, 29(2): 191–206.</w:t>
      </w:r>
    </w:p>
    <w:p w14:paraId="76C297E8"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Arrow, K. J. 1972. Economic welfare and the allocation of resources for invention. In C. K. Rowley (Ed.), </w:t>
      </w:r>
      <w:r w:rsidRPr="006853B2">
        <w:rPr>
          <w:b/>
          <w:bCs/>
          <w:i/>
          <w:iCs/>
          <w:noProof/>
        </w:rPr>
        <w:t>Readings in Industrial Economics</w:t>
      </w:r>
      <w:r w:rsidRPr="006853B2">
        <w:rPr>
          <w:noProof/>
        </w:rPr>
        <w:t>: 219–236. London, UK: Palgrave.</w:t>
      </w:r>
    </w:p>
    <w:p w14:paraId="224AA805"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Azoulay, P., Zivin, J. S. G., &amp; Wang, J. 2010. Superstar extinction. </w:t>
      </w:r>
      <w:r w:rsidRPr="006853B2">
        <w:rPr>
          <w:b/>
          <w:bCs/>
          <w:i/>
          <w:iCs/>
          <w:noProof/>
        </w:rPr>
        <w:t>Quarterly Journal of Economics</w:t>
      </w:r>
      <w:r w:rsidRPr="006853B2">
        <w:rPr>
          <w:noProof/>
        </w:rPr>
        <w:t>, 125(2): 549–589.</w:t>
      </w:r>
    </w:p>
    <w:p w14:paraId="251C7F0A"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Baer, M., Vadera, A. K., Leenders, R. T. A. J., &amp; Oldham, G. R. 2014. Intergroup competition as a double-edged sword: How sex composition regulates the effects of competition on group creativity. </w:t>
      </w:r>
      <w:r w:rsidRPr="006853B2">
        <w:rPr>
          <w:b/>
          <w:bCs/>
          <w:i/>
          <w:iCs/>
          <w:noProof/>
        </w:rPr>
        <w:t>Organization Science</w:t>
      </w:r>
      <w:r w:rsidRPr="006853B2">
        <w:rPr>
          <w:noProof/>
        </w:rPr>
        <w:t>, 25(3): 892–908.</w:t>
      </w:r>
    </w:p>
    <w:p w14:paraId="51427773"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Bendersky, C., &amp; Hays, N. A. 2012. Status conflict in groups. </w:t>
      </w:r>
      <w:r w:rsidRPr="006853B2">
        <w:rPr>
          <w:b/>
          <w:bCs/>
          <w:i/>
          <w:iCs/>
          <w:noProof/>
        </w:rPr>
        <w:t>Organization Science</w:t>
      </w:r>
      <w:r w:rsidRPr="006853B2">
        <w:rPr>
          <w:noProof/>
        </w:rPr>
        <w:t>, 23(2): 323–340.</w:t>
      </w:r>
    </w:p>
    <w:p w14:paraId="7DED684A"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Berger, J., Ridgeway, C. L., &amp; Zelditch, M. 2002. Construction of status and referential structures. </w:t>
      </w:r>
      <w:r w:rsidRPr="006853B2">
        <w:rPr>
          <w:b/>
          <w:bCs/>
          <w:i/>
          <w:iCs/>
          <w:noProof/>
        </w:rPr>
        <w:t>Sociological Theory</w:t>
      </w:r>
      <w:r w:rsidRPr="006853B2">
        <w:rPr>
          <w:noProof/>
        </w:rPr>
        <w:t>, 20(2): 157–179.</w:t>
      </w:r>
    </w:p>
    <w:p w14:paraId="17C6E635"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Blackwell, M., Iacus, S., King, G., &amp; Porro, G. 2009. Cem: Coarsened exact matching in Stata. </w:t>
      </w:r>
      <w:r w:rsidRPr="006853B2">
        <w:rPr>
          <w:b/>
          <w:bCs/>
          <w:i/>
          <w:iCs/>
          <w:noProof/>
        </w:rPr>
        <w:t>Stata Journal</w:t>
      </w:r>
      <w:r w:rsidRPr="006853B2">
        <w:rPr>
          <w:noProof/>
        </w:rPr>
        <w:t>, 9(4): 524–546.</w:t>
      </w:r>
    </w:p>
    <w:p w14:paraId="447A3487"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Blau, P. M. 1964. </w:t>
      </w:r>
      <w:r w:rsidRPr="006853B2">
        <w:rPr>
          <w:b/>
          <w:bCs/>
          <w:i/>
          <w:iCs/>
          <w:noProof/>
        </w:rPr>
        <w:t>Exchange and power in social life.</w:t>
      </w:r>
      <w:r w:rsidRPr="006853B2">
        <w:rPr>
          <w:noProof/>
        </w:rPr>
        <w:t xml:space="preserve"> New York: John Wiley &amp; Sons.</w:t>
      </w:r>
    </w:p>
    <w:p w14:paraId="1F3DFE81"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Bound, J., Jaeger, D. A., &amp; Baker, R. M. 1995. Problems with instrumental variables estimation when the correlation between the instruments and the endogeneous explanatory variable is weak. </w:t>
      </w:r>
      <w:r w:rsidRPr="006853B2">
        <w:rPr>
          <w:b/>
          <w:bCs/>
          <w:i/>
          <w:iCs/>
          <w:noProof/>
        </w:rPr>
        <w:t>Journal of the American Statistical Association</w:t>
      </w:r>
      <w:r w:rsidRPr="006853B2">
        <w:rPr>
          <w:noProof/>
        </w:rPr>
        <w:t>, 90(430): 443.</w:t>
      </w:r>
    </w:p>
    <w:p w14:paraId="28595E13"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Bunderson, S. J. 2003. Recognizing and utilizing expertise in work groups: A status characteristics perspective. </w:t>
      </w:r>
      <w:r w:rsidRPr="006853B2">
        <w:rPr>
          <w:b/>
          <w:bCs/>
          <w:i/>
          <w:iCs/>
          <w:noProof/>
        </w:rPr>
        <w:t>Administrative Science Quarterly</w:t>
      </w:r>
      <w:r w:rsidRPr="006853B2">
        <w:rPr>
          <w:noProof/>
        </w:rPr>
        <w:t>, 48: 557–591.</w:t>
      </w:r>
    </w:p>
    <w:p w14:paraId="077AD61F"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Carli, L. L., &amp; Eagly, A. H. 1999. Gender effects on social influence and emergent leadership. In G. N. Powell (Ed.), </w:t>
      </w:r>
      <w:r w:rsidRPr="006853B2">
        <w:rPr>
          <w:b/>
          <w:bCs/>
          <w:i/>
          <w:iCs/>
          <w:noProof/>
        </w:rPr>
        <w:t>Handbook of Gender &amp; Work</w:t>
      </w:r>
      <w:r w:rsidRPr="006853B2">
        <w:rPr>
          <w:noProof/>
        </w:rPr>
        <w:t>: 203–222. Thousand Oaks, California: SAGE Publications Inc.</w:t>
      </w:r>
    </w:p>
    <w:p w14:paraId="0E75273A" w14:textId="41693D99"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Center for American Progress. 2018. </w:t>
      </w:r>
      <w:r w:rsidRPr="006853B2">
        <w:rPr>
          <w:b/>
          <w:bCs/>
          <w:i/>
          <w:iCs/>
          <w:noProof/>
        </w:rPr>
        <w:t>The women’s leadership gap</w:t>
      </w:r>
      <w:r w:rsidRPr="006853B2">
        <w:rPr>
          <w:noProof/>
        </w:rPr>
        <w:t>. https://www.americanprogress.org/issues/women/reports/2018/11/20/461273/womens-leadership-gap-2/</w:t>
      </w:r>
      <w:r w:rsidR="006634C4">
        <w:rPr>
          <w:noProof/>
        </w:rPr>
        <w:t xml:space="preserve"> </w:t>
      </w:r>
      <w:r w:rsidR="006634C4">
        <w:t>(accessed on December, 3 2020)</w:t>
      </w:r>
      <w:r w:rsidRPr="006853B2">
        <w:rPr>
          <w:noProof/>
        </w:rPr>
        <w:t>.</w:t>
      </w:r>
    </w:p>
    <w:p w14:paraId="3F6E85E1"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Chen, J. S., &amp; Garg, P. 2018. Dancing with the stars: Benefits of a star employee’s temporary absence for organizational performance. </w:t>
      </w:r>
      <w:r w:rsidRPr="006853B2">
        <w:rPr>
          <w:b/>
          <w:bCs/>
          <w:i/>
          <w:iCs/>
          <w:noProof/>
        </w:rPr>
        <w:t>Strategic Management Journal</w:t>
      </w:r>
      <w:r w:rsidRPr="006853B2">
        <w:rPr>
          <w:noProof/>
        </w:rPr>
        <w:t>, 39(5): 1239–1267.</w:t>
      </w:r>
    </w:p>
    <w:p w14:paraId="0E12F038"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Costa, P. T., Terracciano, A., &amp; McCrae, R. R. 2001. Gender differences in personality traits across cultures: Robust and surprising findings. </w:t>
      </w:r>
      <w:r w:rsidRPr="006853B2">
        <w:rPr>
          <w:b/>
          <w:bCs/>
          <w:i/>
          <w:iCs/>
          <w:noProof/>
        </w:rPr>
        <w:t>Journal of Personality and Social Psychology</w:t>
      </w:r>
      <w:r w:rsidRPr="006853B2">
        <w:rPr>
          <w:noProof/>
        </w:rPr>
        <w:t>, 81(2): 322–331.</w:t>
      </w:r>
    </w:p>
    <w:p w14:paraId="079641E7"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lastRenderedPageBreak/>
        <w:t xml:space="preserve">De Vries, R. E., Van Den Hooff, B., &amp; De Ridder, J. A. 2006. Explaining knowledge sharing: The role of team communication styles, job satisfaction, and performance beliefs. </w:t>
      </w:r>
      <w:r w:rsidRPr="006853B2">
        <w:rPr>
          <w:b/>
          <w:bCs/>
          <w:i/>
          <w:iCs/>
          <w:noProof/>
        </w:rPr>
        <w:t>Communication Research</w:t>
      </w:r>
      <w:r w:rsidRPr="006853B2">
        <w:rPr>
          <w:noProof/>
        </w:rPr>
        <w:t>, 33(2): 115–135.</w:t>
      </w:r>
    </w:p>
    <w:p w14:paraId="2A6AFF2E"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Ding, W. W., Murray, F., &amp; Stuart, T. E. 2006. Gender differences in patenting in the academic life sciences. </w:t>
      </w:r>
      <w:r w:rsidRPr="006853B2">
        <w:rPr>
          <w:b/>
          <w:bCs/>
          <w:i/>
          <w:iCs/>
          <w:noProof/>
        </w:rPr>
        <w:t>Science</w:t>
      </w:r>
      <w:r w:rsidRPr="006853B2">
        <w:rPr>
          <w:noProof/>
        </w:rPr>
        <w:t>, 313(5787): 665–667.</w:t>
      </w:r>
    </w:p>
    <w:p w14:paraId="65CC4D64"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Drucker, P. F. 1999. </w:t>
      </w:r>
      <w:r w:rsidRPr="006853B2">
        <w:rPr>
          <w:b/>
          <w:bCs/>
          <w:i/>
          <w:iCs/>
          <w:noProof/>
        </w:rPr>
        <w:t>Management challenges for the 21st century</w:t>
      </w:r>
      <w:r w:rsidRPr="006853B2">
        <w:rPr>
          <w:noProof/>
        </w:rPr>
        <w:t>. New York, NY: HarperBusiness.</w:t>
      </w:r>
    </w:p>
    <w:p w14:paraId="69C1F2AE"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Eagly, A. H. 1987. </w:t>
      </w:r>
      <w:r w:rsidRPr="006853B2">
        <w:rPr>
          <w:b/>
          <w:bCs/>
          <w:i/>
          <w:iCs/>
          <w:noProof/>
        </w:rPr>
        <w:t>Sex differences in social behavior: A social-role interpretation</w:t>
      </w:r>
      <w:r w:rsidRPr="006853B2">
        <w:rPr>
          <w:noProof/>
        </w:rPr>
        <w:t>. Hillsdale, NJ: Lawrence Erlbaum.</w:t>
      </w:r>
    </w:p>
    <w:p w14:paraId="5087F8FE"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Eagly, A. H., Johannesen-Schmidt, M. C., &amp; Van Engen, M. L. 2003. Transformational, transactional, and laissez-faire leadership styles: A meta-analysis comparing women and men. </w:t>
      </w:r>
      <w:r w:rsidRPr="006853B2">
        <w:rPr>
          <w:b/>
          <w:bCs/>
          <w:i/>
          <w:iCs/>
          <w:noProof/>
        </w:rPr>
        <w:t>Psychological Bulletin</w:t>
      </w:r>
      <w:r w:rsidRPr="006853B2">
        <w:rPr>
          <w:noProof/>
        </w:rPr>
        <w:t>, 129(4): 569–591.</w:t>
      </w:r>
    </w:p>
    <w:p w14:paraId="0B6804D0"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Eagly, A. H., &amp; Karau, S. J. 2002. Role congruity theory of prejudice toward female leaders. </w:t>
      </w:r>
      <w:r w:rsidRPr="006853B2">
        <w:rPr>
          <w:b/>
          <w:bCs/>
          <w:i/>
          <w:iCs/>
          <w:noProof/>
        </w:rPr>
        <w:t>Psychological Review</w:t>
      </w:r>
      <w:r w:rsidRPr="006853B2">
        <w:rPr>
          <w:noProof/>
        </w:rPr>
        <w:t>, 109(3): 573–598.</w:t>
      </w:r>
    </w:p>
    <w:p w14:paraId="308D5F8D"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Faraj, S., &amp; Xiao, Y. 2006. Coordination in fast-response organizations. </w:t>
      </w:r>
      <w:r w:rsidRPr="006853B2">
        <w:rPr>
          <w:b/>
          <w:bCs/>
          <w:i/>
          <w:iCs/>
          <w:noProof/>
        </w:rPr>
        <w:t>Management Science</w:t>
      </w:r>
      <w:r w:rsidRPr="006853B2">
        <w:rPr>
          <w:noProof/>
        </w:rPr>
        <w:t>, 52(8): 1155–1169.</w:t>
      </w:r>
    </w:p>
    <w:p w14:paraId="3A9782B5"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Ferguson, J. P., &amp; Carnabuci, G. 2017. Risky recombinations: Institutional gatekeeping in the innovation process. </w:t>
      </w:r>
      <w:r w:rsidRPr="006853B2">
        <w:rPr>
          <w:b/>
          <w:bCs/>
          <w:i/>
          <w:iCs/>
          <w:noProof/>
        </w:rPr>
        <w:t>Organization Science</w:t>
      </w:r>
      <w:r w:rsidRPr="006853B2">
        <w:rPr>
          <w:noProof/>
        </w:rPr>
        <w:t>, 28(1): 133–151.</w:t>
      </w:r>
    </w:p>
    <w:p w14:paraId="617E3577"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Fleming, L. 2001. Recombinant uncertainty in technological search. </w:t>
      </w:r>
      <w:r w:rsidRPr="006853B2">
        <w:rPr>
          <w:b/>
          <w:bCs/>
          <w:i/>
          <w:iCs/>
          <w:noProof/>
        </w:rPr>
        <w:t>Management Science</w:t>
      </w:r>
      <w:r w:rsidRPr="006853B2">
        <w:rPr>
          <w:noProof/>
        </w:rPr>
        <w:t>, 47(1): 117–132.</w:t>
      </w:r>
    </w:p>
    <w:p w14:paraId="41D5FCA8"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Galinsky, A. D., Magee, J. C., Ena Inesi, M., &amp; Gruenfeld, D. H. 2006. Power and perspectives not taken. </w:t>
      </w:r>
      <w:r w:rsidRPr="006853B2">
        <w:rPr>
          <w:b/>
          <w:bCs/>
          <w:i/>
          <w:iCs/>
          <w:noProof/>
        </w:rPr>
        <w:t>Psychological Science</w:t>
      </w:r>
      <w:r w:rsidRPr="006853B2">
        <w:rPr>
          <w:noProof/>
        </w:rPr>
        <w:t>, 17(12): 1068–1074.</w:t>
      </w:r>
    </w:p>
    <w:p w14:paraId="494A9E7C"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Grant, R. M. 1991. Toward a knowledge-based theory of the firm. </w:t>
      </w:r>
      <w:r w:rsidRPr="006853B2">
        <w:rPr>
          <w:b/>
          <w:bCs/>
          <w:i/>
          <w:iCs/>
          <w:noProof/>
        </w:rPr>
        <w:t>Strategic Management Journal</w:t>
      </w:r>
      <w:r w:rsidRPr="006853B2">
        <w:rPr>
          <w:noProof/>
        </w:rPr>
        <w:t>, 17(Special Issue): 109–22.</w:t>
      </w:r>
    </w:p>
    <w:p w14:paraId="4EAED2A3"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Grigoriou, K., &amp; Rothaermel, F. T. 2014. Structural microfoundations of innovation: The role of relational stars. </w:t>
      </w:r>
      <w:r w:rsidRPr="006853B2">
        <w:rPr>
          <w:b/>
          <w:bCs/>
          <w:i/>
          <w:iCs/>
          <w:noProof/>
        </w:rPr>
        <w:t>Journal of Management</w:t>
      </w:r>
      <w:r w:rsidRPr="006853B2">
        <w:rPr>
          <w:noProof/>
        </w:rPr>
        <w:t>, 40(2): 586–615.</w:t>
      </w:r>
    </w:p>
    <w:p w14:paraId="23D39E05"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Groysberg, B., Lee, L. E., &amp; Nanda, A. 2008. Can they take it with them? The portability of star knowledge workers’ performance. </w:t>
      </w:r>
      <w:r w:rsidRPr="006853B2">
        <w:rPr>
          <w:b/>
          <w:bCs/>
          <w:i/>
          <w:iCs/>
          <w:noProof/>
        </w:rPr>
        <w:t>Management Science</w:t>
      </w:r>
      <w:r w:rsidRPr="006853B2">
        <w:rPr>
          <w:noProof/>
        </w:rPr>
        <w:t>, 54(7): 1213–1230.</w:t>
      </w:r>
    </w:p>
    <w:p w14:paraId="0861E163"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Gruber, M., Harhoff, D., &amp; Hoisl, K. 2013. Knowledge recombination across technological boundaries: Scientists vs. engineers. </w:t>
      </w:r>
      <w:r w:rsidRPr="006853B2">
        <w:rPr>
          <w:b/>
          <w:bCs/>
          <w:i/>
          <w:iCs/>
          <w:noProof/>
        </w:rPr>
        <w:t>Management Science</w:t>
      </w:r>
      <w:r w:rsidRPr="006853B2">
        <w:rPr>
          <w:noProof/>
        </w:rPr>
        <w:t>, 59(4): 837–851.</w:t>
      </w:r>
    </w:p>
    <w:p w14:paraId="2E1055F4"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Hargadon, A. B. 1998. Firms as knowledge brokers: Lessons in pursuing continuous innovation. </w:t>
      </w:r>
      <w:r w:rsidRPr="006853B2">
        <w:rPr>
          <w:b/>
          <w:bCs/>
          <w:i/>
          <w:iCs/>
          <w:noProof/>
        </w:rPr>
        <w:t>California Management Review</w:t>
      </w:r>
      <w:r w:rsidRPr="006853B2">
        <w:rPr>
          <w:noProof/>
        </w:rPr>
        <w:t>, (3): 209–227.</w:t>
      </w:r>
    </w:p>
    <w:p w14:paraId="43BE33F4"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Hargadon, A. B., &amp; Bechky, B. A. 2006. When collections of creatives become creative collectives: A field study of problem solving at work. </w:t>
      </w:r>
      <w:r w:rsidRPr="006853B2">
        <w:rPr>
          <w:b/>
          <w:bCs/>
          <w:i/>
          <w:iCs/>
          <w:noProof/>
        </w:rPr>
        <w:t>Organization Science</w:t>
      </w:r>
      <w:r w:rsidRPr="006853B2">
        <w:rPr>
          <w:noProof/>
        </w:rPr>
        <w:t>, 17(4): 484–500.</w:t>
      </w:r>
    </w:p>
    <w:p w14:paraId="72DBE7F6"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Harvey, S. 2013. A different perspective: The multiple effects of deep level diversity on group creativity. </w:t>
      </w:r>
      <w:r w:rsidRPr="006853B2">
        <w:rPr>
          <w:b/>
          <w:bCs/>
          <w:i/>
          <w:iCs/>
          <w:noProof/>
        </w:rPr>
        <w:t>Journal of Experimental Social Psychology</w:t>
      </w:r>
      <w:r w:rsidRPr="006853B2">
        <w:rPr>
          <w:noProof/>
        </w:rPr>
        <w:t>, 49(5): 822–832.</w:t>
      </w:r>
    </w:p>
    <w:p w14:paraId="795EBDC7"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Harvey, S. 2014. Creative synthesis: Exploring the process of extraordinary group creativity. </w:t>
      </w:r>
      <w:r w:rsidRPr="006853B2">
        <w:rPr>
          <w:b/>
          <w:bCs/>
          <w:i/>
          <w:iCs/>
          <w:noProof/>
        </w:rPr>
        <w:t>Academy of Management Review</w:t>
      </w:r>
      <w:r w:rsidRPr="006853B2">
        <w:rPr>
          <w:noProof/>
        </w:rPr>
        <w:t>, 39(3): 324–343.</w:t>
      </w:r>
    </w:p>
    <w:p w14:paraId="42A36D69"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Hoisl, K., &amp; Mariani, M. 2017. It’s a man’s job: Income and the gender gap in industrial research. </w:t>
      </w:r>
      <w:r w:rsidRPr="006853B2">
        <w:rPr>
          <w:b/>
          <w:bCs/>
          <w:i/>
          <w:iCs/>
          <w:noProof/>
        </w:rPr>
        <w:t>Management Science</w:t>
      </w:r>
      <w:r w:rsidRPr="006853B2">
        <w:rPr>
          <w:noProof/>
        </w:rPr>
        <w:t>, 63(3): 766–790.</w:t>
      </w:r>
    </w:p>
    <w:p w14:paraId="12A92133"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Iacus, S. M., King, G., &amp; Porro, G. 2011. Multivariate matching methods that are monotonic imbalance bounding. </w:t>
      </w:r>
      <w:r w:rsidRPr="006853B2">
        <w:rPr>
          <w:b/>
          <w:bCs/>
          <w:i/>
          <w:iCs/>
          <w:noProof/>
        </w:rPr>
        <w:t>Journal of the American Statistical Association</w:t>
      </w:r>
      <w:r w:rsidRPr="006853B2">
        <w:rPr>
          <w:noProof/>
        </w:rPr>
        <w:t>, 106(493): 345–361.</w:t>
      </w:r>
    </w:p>
    <w:p w14:paraId="7D6B6303"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Iacus, S. M., King, G., &amp; Porro, G. 2012. Causal inference without balance checking: Coarsened exact matching. </w:t>
      </w:r>
      <w:r w:rsidRPr="006853B2">
        <w:rPr>
          <w:b/>
          <w:bCs/>
          <w:i/>
          <w:iCs/>
          <w:noProof/>
        </w:rPr>
        <w:t>Political Analysis</w:t>
      </w:r>
      <w:r w:rsidRPr="006853B2">
        <w:rPr>
          <w:noProof/>
        </w:rPr>
        <w:t>, 20(1): 1–24.</w:t>
      </w:r>
    </w:p>
    <w:p w14:paraId="1BC260DB"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Jacques, M. 2009. </w:t>
      </w:r>
      <w:r w:rsidRPr="006853B2">
        <w:rPr>
          <w:b/>
          <w:bCs/>
          <w:i/>
          <w:iCs/>
          <w:noProof/>
        </w:rPr>
        <w:t>When China rules the world: The end of the western world and the birth of a new global order</w:t>
      </w:r>
      <w:r w:rsidRPr="006853B2">
        <w:rPr>
          <w:noProof/>
        </w:rPr>
        <w:t>. New York, NY: Penguin.</w:t>
      </w:r>
    </w:p>
    <w:p w14:paraId="0B0A614B"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Kehoe, R. R., &amp; Tzabbar, D. 2015. Lighting the way or stealing the shine? An examination of the duality in star scientists’ effects on firm innovative performance. </w:t>
      </w:r>
      <w:r w:rsidRPr="006853B2">
        <w:rPr>
          <w:b/>
          <w:bCs/>
          <w:i/>
          <w:iCs/>
          <w:noProof/>
        </w:rPr>
        <w:t xml:space="preserve">Strategic </w:t>
      </w:r>
      <w:r w:rsidRPr="006853B2">
        <w:rPr>
          <w:b/>
          <w:bCs/>
          <w:i/>
          <w:iCs/>
          <w:noProof/>
        </w:rPr>
        <w:lastRenderedPageBreak/>
        <w:t>Management Journal</w:t>
      </w:r>
      <w:r w:rsidRPr="006853B2">
        <w:rPr>
          <w:noProof/>
        </w:rPr>
        <w:t>, 36(5): 709–727.</w:t>
      </w:r>
    </w:p>
    <w:p w14:paraId="28432269"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Kerr, W. R., &amp; Lincoln, W. F. 2010. The supply side of innovation: H-1B visa reforms and U.S. ethnic invention. </w:t>
      </w:r>
      <w:r w:rsidRPr="006853B2">
        <w:rPr>
          <w:b/>
          <w:bCs/>
          <w:i/>
          <w:iCs/>
          <w:noProof/>
        </w:rPr>
        <w:t>Journal of Labor Economics</w:t>
      </w:r>
      <w:r w:rsidRPr="006853B2">
        <w:rPr>
          <w:noProof/>
        </w:rPr>
        <w:t>, 28(3): 473–508.</w:t>
      </w:r>
    </w:p>
    <w:p w14:paraId="328BD769"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Kneeland, M. K., Schilling, M. A., &amp; Aharonson, B. S. 2020. Exploring uncharted territory: knowledge search processes in the origination of outlier innovation. </w:t>
      </w:r>
      <w:r w:rsidRPr="006853B2">
        <w:rPr>
          <w:b/>
          <w:bCs/>
          <w:i/>
          <w:iCs/>
          <w:noProof/>
        </w:rPr>
        <w:t>Organization Science</w:t>
      </w:r>
      <w:r w:rsidRPr="006853B2">
        <w:rPr>
          <w:noProof/>
        </w:rPr>
        <w:t>, 31(3): 535–557.</w:t>
      </w:r>
    </w:p>
    <w:p w14:paraId="39D392A3"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Kogut, B., &amp; Zander, U. 1992. Knowledge of the firm. Combinative capabilities, and the replication of technology. </w:t>
      </w:r>
      <w:r w:rsidRPr="006853B2">
        <w:rPr>
          <w:b/>
          <w:bCs/>
          <w:i/>
          <w:iCs/>
          <w:noProof/>
        </w:rPr>
        <w:t>Organization Science</w:t>
      </w:r>
      <w:r w:rsidRPr="006853B2">
        <w:rPr>
          <w:noProof/>
        </w:rPr>
        <w:t>, 3(3): 383–397.</w:t>
      </w:r>
    </w:p>
    <w:p w14:paraId="04AD599A"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Kuhn, J., Younge, K., &amp; Marco, A. 2020. Patent citations reexamined. </w:t>
      </w:r>
      <w:r w:rsidRPr="006853B2">
        <w:rPr>
          <w:b/>
          <w:bCs/>
          <w:i/>
          <w:iCs/>
          <w:noProof/>
        </w:rPr>
        <w:t>RAND Journal of Economics</w:t>
      </w:r>
      <w:r w:rsidRPr="006853B2">
        <w:rPr>
          <w:noProof/>
        </w:rPr>
        <w:t>, 51(1): 109–132.</w:t>
      </w:r>
    </w:p>
    <w:p w14:paraId="09530905"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Lacetera, N., Cockburn, I. M., &amp; Henderson, R. 2004. Do firms change capabilities by hiring people? A study of the adoption of the science-based drug discovery. </w:t>
      </w:r>
      <w:r w:rsidRPr="006853B2">
        <w:rPr>
          <w:b/>
          <w:bCs/>
          <w:i/>
          <w:iCs/>
          <w:noProof/>
        </w:rPr>
        <w:t>Advances in Strategic Management</w:t>
      </w:r>
      <w:r w:rsidRPr="006853B2">
        <w:rPr>
          <w:noProof/>
        </w:rPr>
        <w:t>, 21: 133–159.</w:t>
      </w:r>
    </w:p>
    <w:p w14:paraId="518DAE67"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Le Gallo, J., &amp; Plunket, A. 2020. Regional gatekeepers, inventor networks and inventive performance: Spatial and organizational channels. </w:t>
      </w:r>
      <w:r w:rsidRPr="006853B2">
        <w:rPr>
          <w:b/>
          <w:bCs/>
          <w:i/>
          <w:iCs/>
          <w:noProof/>
        </w:rPr>
        <w:t>Research Policy</w:t>
      </w:r>
      <w:r w:rsidRPr="006853B2">
        <w:rPr>
          <w:noProof/>
        </w:rPr>
        <w:t>, 49(5).</w:t>
      </w:r>
    </w:p>
    <w:p w14:paraId="436877FD"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LePine, J. A., Hollenbeck, J. R., Ilgen, D. R., Colquitt, J. A., &amp; Ellis, A. 2002. Gender composition, situational strength, and team decision-making accuracy: A criterion decomposition approach. </w:t>
      </w:r>
      <w:r w:rsidRPr="006853B2">
        <w:rPr>
          <w:b/>
          <w:bCs/>
          <w:i/>
          <w:iCs/>
          <w:noProof/>
        </w:rPr>
        <w:t>Organizational Behavior and Human Decision Processes</w:t>
      </w:r>
      <w:r w:rsidRPr="006853B2">
        <w:rPr>
          <w:noProof/>
        </w:rPr>
        <w:t>, 88(1): 445–475.</w:t>
      </w:r>
    </w:p>
    <w:p w14:paraId="19D00532"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Lerner, J. 1994. The importance of patent scope: An empirical analysis. </w:t>
      </w:r>
      <w:r w:rsidRPr="006853B2">
        <w:rPr>
          <w:b/>
          <w:bCs/>
          <w:i/>
          <w:iCs/>
          <w:noProof/>
        </w:rPr>
        <w:t>The RAND Journal of Economics</w:t>
      </w:r>
      <w:r w:rsidRPr="006853B2">
        <w:rPr>
          <w:noProof/>
        </w:rPr>
        <w:t>, 25(2): 319–333.</w:t>
      </w:r>
    </w:p>
    <w:p w14:paraId="5C64124C"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Li, G. C., Lai, R., D’Amour, A., Doolin, D. M., Sun, Y., et al. 2014. Disambiguation and co-authorship networks of the U.S. patent inventor database (1975-2010). </w:t>
      </w:r>
      <w:r w:rsidRPr="006853B2">
        <w:rPr>
          <w:b/>
          <w:bCs/>
          <w:i/>
          <w:iCs/>
          <w:noProof/>
        </w:rPr>
        <w:t>Research Policy</w:t>
      </w:r>
      <w:r w:rsidRPr="006853B2">
        <w:rPr>
          <w:noProof/>
        </w:rPr>
        <w:t>, 43(6): 941–955.</w:t>
      </w:r>
    </w:p>
    <w:p w14:paraId="061EE43A"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Li, Y., Li, N., Li, C., &amp; Li, J. 2020. The boon and bane of creative “stars”: A social network exploration of how and when team creativity is (and is not) driven by a star teammate. </w:t>
      </w:r>
      <w:r w:rsidRPr="006853B2">
        <w:rPr>
          <w:b/>
          <w:bCs/>
          <w:i/>
          <w:iCs/>
          <w:noProof/>
        </w:rPr>
        <w:t>Academy of Management Journal</w:t>
      </w:r>
      <w:r w:rsidRPr="006853B2">
        <w:rPr>
          <w:noProof/>
        </w:rPr>
        <w:t>, 63(2): 613–635.</w:t>
      </w:r>
    </w:p>
    <w:p w14:paraId="6A2626C9"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Lippa, R. A. 2008. Sex differences and sexual orientation differences in personality: Findings from the BBC internet survey. </w:t>
      </w:r>
      <w:r w:rsidRPr="006853B2">
        <w:rPr>
          <w:b/>
          <w:bCs/>
          <w:i/>
          <w:iCs/>
          <w:noProof/>
        </w:rPr>
        <w:t>Archives of Sexual Behavior</w:t>
      </w:r>
      <w:r w:rsidRPr="006853B2">
        <w:rPr>
          <w:noProof/>
        </w:rPr>
        <w:t>, 37(1): 173–187.</w:t>
      </w:r>
    </w:p>
    <w:p w14:paraId="54AAE32E"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Lippa, R. A. 2010. Gender differences in personality and interests: When, where, and why? </w:t>
      </w:r>
      <w:r w:rsidRPr="006853B2">
        <w:rPr>
          <w:b/>
          <w:bCs/>
          <w:i/>
          <w:iCs/>
          <w:noProof/>
        </w:rPr>
        <w:t>Social and Personality Psychology Compass</w:t>
      </w:r>
      <w:r w:rsidRPr="006853B2">
        <w:rPr>
          <w:noProof/>
        </w:rPr>
        <w:t>, 4(11): 1098–1110.</w:t>
      </w:r>
    </w:p>
    <w:p w14:paraId="3ADA46B6"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Liu, H., Mihm, J., &amp; Sosa, M. E. 2019. Where do stars come from? The role of star vs. nonstar collaborators in creative settings. </w:t>
      </w:r>
      <w:r w:rsidRPr="006853B2">
        <w:rPr>
          <w:b/>
          <w:bCs/>
          <w:i/>
          <w:iCs/>
          <w:noProof/>
        </w:rPr>
        <w:t>Organization Science</w:t>
      </w:r>
      <w:r w:rsidRPr="006853B2">
        <w:rPr>
          <w:noProof/>
        </w:rPr>
        <w:t>, 29(6): 1149–1169.</w:t>
      </w:r>
    </w:p>
    <w:p w14:paraId="62D77647"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Majchrzak, A., Jarvenpaa, S. L., &amp; Hollingshead, A. B. 2007. Coordinating Expertise Among Emergent Groups Responding to Disasters. </w:t>
      </w:r>
      <w:r w:rsidRPr="006853B2">
        <w:rPr>
          <w:b/>
          <w:bCs/>
          <w:i/>
          <w:iCs/>
          <w:noProof/>
        </w:rPr>
        <w:t>Organization Science</w:t>
      </w:r>
      <w:r w:rsidRPr="006853B2">
        <w:rPr>
          <w:noProof/>
        </w:rPr>
        <w:t>, 18(1): 147–161.</w:t>
      </w:r>
    </w:p>
    <w:p w14:paraId="7EE16A8A"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Mannucci, P. V. 2017. Drawing snow white and animating buzz lightyear: Technological toolkit characteristics and creativity in cross-disciplinary teams. </w:t>
      </w:r>
      <w:r w:rsidRPr="006853B2">
        <w:rPr>
          <w:b/>
          <w:bCs/>
          <w:i/>
          <w:iCs/>
          <w:noProof/>
        </w:rPr>
        <w:t>Organization Science</w:t>
      </w:r>
      <w:r w:rsidRPr="006853B2">
        <w:rPr>
          <w:noProof/>
        </w:rPr>
        <w:t>, 28(4): 711–728.</w:t>
      </w:r>
    </w:p>
    <w:p w14:paraId="28C12DCA"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Martínez, C. 2011. Patent families: When do different definitions really matter? </w:t>
      </w:r>
      <w:r w:rsidRPr="006853B2">
        <w:rPr>
          <w:b/>
          <w:bCs/>
          <w:i/>
          <w:iCs/>
          <w:noProof/>
        </w:rPr>
        <w:t>Scientometrics</w:t>
      </w:r>
      <w:r w:rsidRPr="006853B2">
        <w:rPr>
          <w:noProof/>
        </w:rPr>
        <w:t>, 86(1): 39–63.</w:t>
      </w:r>
    </w:p>
    <w:p w14:paraId="16066964"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Melero, E., Palomeras, N., &amp; Wehrheim, D. 2020. The effect of patent protection on inventor mobility. </w:t>
      </w:r>
      <w:r w:rsidRPr="006853B2">
        <w:rPr>
          <w:b/>
          <w:bCs/>
          <w:i/>
          <w:iCs/>
          <w:noProof/>
        </w:rPr>
        <w:t>Management Science</w:t>
      </w:r>
      <w:r w:rsidRPr="006853B2">
        <w:rPr>
          <w:noProof/>
        </w:rPr>
        <w:t>, 2017(1): 12964.</w:t>
      </w:r>
    </w:p>
    <w:p w14:paraId="0F05CDFD"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Morris, S., Alvarez, S. A., &amp; Barney, J. 2018. Dancing with the stars: The practical value of theory in managing star employees. </w:t>
      </w:r>
      <w:r w:rsidRPr="006853B2">
        <w:rPr>
          <w:b/>
          <w:bCs/>
          <w:i/>
          <w:iCs/>
          <w:noProof/>
        </w:rPr>
        <w:t>Academy of Management Perspectives</w:t>
      </w:r>
      <w:r w:rsidRPr="006853B2">
        <w:rPr>
          <w:noProof/>
        </w:rPr>
        <w:t>.</w:t>
      </w:r>
    </w:p>
    <w:p w14:paraId="6CBC2046"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Nahapiet, J., &amp; Ghoshal, S. 1998. Social capital, intellectual capital, and the organizational advantage. </w:t>
      </w:r>
      <w:r w:rsidRPr="006853B2">
        <w:rPr>
          <w:b/>
          <w:bCs/>
          <w:i/>
          <w:iCs/>
          <w:noProof/>
        </w:rPr>
        <w:t>Academy of Management Review</w:t>
      </w:r>
      <w:r w:rsidRPr="006853B2">
        <w:rPr>
          <w:noProof/>
        </w:rPr>
        <w:t>, 23(2): 242–266.</w:t>
      </w:r>
    </w:p>
    <w:p w14:paraId="082F1492"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Nelson, R. R., &amp; Winter, S. G. 1982. </w:t>
      </w:r>
      <w:r w:rsidRPr="006853B2">
        <w:rPr>
          <w:b/>
          <w:bCs/>
          <w:i/>
          <w:iCs/>
          <w:noProof/>
        </w:rPr>
        <w:t>An evolutionary theory of economic change.</w:t>
      </w:r>
      <w:r w:rsidRPr="006853B2">
        <w:rPr>
          <w:noProof/>
        </w:rPr>
        <w:t xml:space="preserve"> Cambridge, MA: Harvard University Press.</w:t>
      </w:r>
    </w:p>
    <w:p w14:paraId="1134D153"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Nerkar, A. 2003. Old is gold? The value of temporal exploration in the creation of new knowledge. </w:t>
      </w:r>
      <w:r w:rsidRPr="006853B2">
        <w:rPr>
          <w:b/>
          <w:bCs/>
          <w:i/>
          <w:iCs/>
          <w:noProof/>
        </w:rPr>
        <w:t>Management Science</w:t>
      </w:r>
      <w:r w:rsidRPr="006853B2">
        <w:rPr>
          <w:noProof/>
        </w:rPr>
        <w:t>, 49(2): 211–229.</w:t>
      </w:r>
    </w:p>
    <w:p w14:paraId="324F1E0B"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lastRenderedPageBreak/>
        <w:t xml:space="preserve">Oettl, A. 2012. Reconceptualizing stars: Scientist helpfulness and peer performance. </w:t>
      </w:r>
      <w:r w:rsidRPr="006853B2">
        <w:rPr>
          <w:b/>
          <w:bCs/>
          <w:i/>
          <w:iCs/>
          <w:noProof/>
        </w:rPr>
        <w:t>Management Science</w:t>
      </w:r>
      <w:r w:rsidRPr="006853B2">
        <w:rPr>
          <w:noProof/>
        </w:rPr>
        <w:t>, 58(6): 1122–1140.</w:t>
      </w:r>
    </w:p>
    <w:p w14:paraId="20404B03"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Oldroyd, J. B., &amp; Morris, S. S. 2012. Catching falling stars: A human resource response to social capital’s detrimental effect of information overload on star employees. </w:t>
      </w:r>
      <w:r w:rsidRPr="006853B2">
        <w:rPr>
          <w:b/>
          <w:bCs/>
          <w:i/>
          <w:iCs/>
          <w:noProof/>
        </w:rPr>
        <w:t>Academy of Management Review</w:t>
      </w:r>
      <w:r w:rsidRPr="006853B2">
        <w:rPr>
          <w:noProof/>
        </w:rPr>
        <w:t>, 37(3): 396–418.</w:t>
      </w:r>
    </w:p>
    <w:p w14:paraId="5D8A82B6" w14:textId="6AB373F6"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Paulus, P. B., &amp; Nijstad, B. A. 2003. Group Creativity : Innovation through Collaboration: Innovation through Collaboration (Google eBook). </w:t>
      </w:r>
      <w:r w:rsidRPr="006853B2">
        <w:rPr>
          <w:b/>
          <w:bCs/>
          <w:i/>
          <w:iCs/>
          <w:noProof/>
        </w:rPr>
        <w:t>Group creativity: Innovation through collaboration.</w:t>
      </w:r>
      <w:r w:rsidRPr="006853B2">
        <w:rPr>
          <w:noProof/>
        </w:rPr>
        <w:t xml:space="preserve"> New York, NY: Oxford University Press. </w:t>
      </w:r>
    </w:p>
    <w:p w14:paraId="25C56B0B"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Perry-Smith, J. E., &amp; Mannucci, P. V. 2017. From creativity to innovation: The social network drivers of the four phases of the idea journey. </w:t>
      </w:r>
      <w:r w:rsidRPr="006853B2">
        <w:rPr>
          <w:b/>
          <w:bCs/>
          <w:i/>
          <w:iCs/>
          <w:noProof/>
        </w:rPr>
        <w:t>Academy of Management Review</w:t>
      </w:r>
      <w:r w:rsidRPr="006853B2">
        <w:rPr>
          <w:noProof/>
        </w:rPr>
        <w:t>, 42(1): 53–79.</w:t>
      </w:r>
    </w:p>
    <w:p w14:paraId="21A84031"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Perry-Smith, J. E., &amp; Shalley, C. E. 2003. The social side of creativity: A static and dynamic social network perspective. </w:t>
      </w:r>
      <w:r w:rsidRPr="006853B2">
        <w:rPr>
          <w:b/>
          <w:bCs/>
          <w:i/>
          <w:iCs/>
          <w:noProof/>
        </w:rPr>
        <w:t>Academy of Management Review</w:t>
      </w:r>
      <w:r w:rsidRPr="006853B2">
        <w:rPr>
          <w:noProof/>
        </w:rPr>
        <w:t>, 28(1): 89–106.</w:t>
      </w:r>
    </w:p>
    <w:p w14:paraId="4EB35E4F"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Podolny, J. M. 2005. </w:t>
      </w:r>
      <w:r w:rsidRPr="006853B2">
        <w:rPr>
          <w:b/>
          <w:bCs/>
          <w:i/>
          <w:iCs/>
          <w:noProof/>
        </w:rPr>
        <w:t>Status Signals</w:t>
      </w:r>
      <w:r w:rsidRPr="006853B2">
        <w:rPr>
          <w:noProof/>
        </w:rPr>
        <w:t>. Princeton, NJ: Princeton University Press.</w:t>
      </w:r>
    </w:p>
    <w:p w14:paraId="5235D39E"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Post, C. 2015. When is female leadership an advantage? Coordination requirements, team cohesion, and team interaction norms. </w:t>
      </w:r>
      <w:r w:rsidRPr="006853B2">
        <w:rPr>
          <w:b/>
          <w:bCs/>
          <w:i/>
          <w:iCs/>
          <w:noProof/>
        </w:rPr>
        <w:t>Journal of Organizational Behavior</w:t>
      </w:r>
      <w:r w:rsidRPr="006853B2">
        <w:rPr>
          <w:noProof/>
        </w:rPr>
        <w:t>, 36(8): 1153–1175.</w:t>
      </w:r>
    </w:p>
    <w:p w14:paraId="760422D8"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Ridgeway, C. 1991. The social construction of status value: gender and other nominal characteristics. </w:t>
      </w:r>
      <w:r w:rsidRPr="006853B2">
        <w:rPr>
          <w:b/>
          <w:bCs/>
          <w:i/>
          <w:iCs/>
          <w:noProof/>
        </w:rPr>
        <w:t>Social Forces</w:t>
      </w:r>
      <w:r w:rsidRPr="006853B2">
        <w:rPr>
          <w:noProof/>
        </w:rPr>
        <w:t>, 70(2): 367.</w:t>
      </w:r>
    </w:p>
    <w:p w14:paraId="17B9BF7E"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Ridgeway, C. L., &amp; Diekema, D. 1992. Are gender differences status differences? </w:t>
      </w:r>
      <w:r w:rsidRPr="006853B2">
        <w:rPr>
          <w:b/>
          <w:bCs/>
          <w:i/>
          <w:iCs/>
          <w:noProof/>
        </w:rPr>
        <w:t>Gender, Interaction, and Inequality</w:t>
      </w:r>
      <w:r w:rsidRPr="006853B2">
        <w:rPr>
          <w:noProof/>
        </w:rPr>
        <w:t>, 157–180.</w:t>
      </w:r>
    </w:p>
    <w:p w14:paraId="4BF40489"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Ridgeway, C. L., &amp; Erickson, K. G. 2000. Creating and spreading status beliefs. </w:t>
      </w:r>
      <w:r w:rsidRPr="006853B2">
        <w:rPr>
          <w:b/>
          <w:bCs/>
          <w:i/>
          <w:iCs/>
          <w:noProof/>
        </w:rPr>
        <w:t>American Journal of Sociology</w:t>
      </w:r>
      <w:r w:rsidRPr="006853B2">
        <w:rPr>
          <w:noProof/>
        </w:rPr>
        <w:t>, 10(3): 579–615.</w:t>
      </w:r>
    </w:p>
    <w:p w14:paraId="6B5EEBB6"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Rosette, A. S., &amp; Tost, L. P. 2010. Agentic women and communal leadership: How role prescriptions confer advantage to top women leaders. </w:t>
      </w:r>
      <w:r w:rsidRPr="006853B2">
        <w:rPr>
          <w:b/>
          <w:bCs/>
          <w:i/>
          <w:iCs/>
          <w:noProof/>
        </w:rPr>
        <w:t>Journal of Applied Psychology</w:t>
      </w:r>
      <w:r w:rsidRPr="006853B2">
        <w:rPr>
          <w:noProof/>
        </w:rPr>
        <w:t>, 95(2): 221–235.</w:t>
      </w:r>
    </w:p>
    <w:p w14:paraId="33858D32"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Rothaermel, F. T., &amp; Hess, A. M. 2007. Building dynamic capabilities: Innovation driven by individual-, firm-, and network-level effects. </w:t>
      </w:r>
      <w:r w:rsidRPr="006853B2">
        <w:rPr>
          <w:b/>
          <w:bCs/>
          <w:i/>
          <w:iCs/>
          <w:noProof/>
        </w:rPr>
        <w:t>Organization Science</w:t>
      </w:r>
      <w:r w:rsidRPr="006853B2">
        <w:rPr>
          <w:noProof/>
        </w:rPr>
        <w:t>, 18(6): 898–921.</w:t>
      </w:r>
    </w:p>
    <w:p w14:paraId="2586762E"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Santamaría, L., &amp; Mihaljević, H. 2018. Comparison and benchmark of name-to- gender inference services. </w:t>
      </w:r>
      <w:r w:rsidRPr="006853B2">
        <w:rPr>
          <w:b/>
          <w:bCs/>
          <w:i/>
          <w:iCs/>
          <w:noProof/>
        </w:rPr>
        <w:t>PeerJ Computer Science</w:t>
      </w:r>
      <w:r w:rsidRPr="006853B2">
        <w:rPr>
          <w:noProof/>
        </w:rPr>
        <w:t>, 2018(7). https://doi.org/10.7717/peerj-cs.156.</w:t>
      </w:r>
    </w:p>
    <w:p w14:paraId="32709356"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Schmitt, D. P., Realo, A., Voracek, M., &amp; Allik, J. 2008. Why can’t a man be more like a woman? Sex differences in Big Five personality traits across 55 cultures. </w:t>
      </w:r>
      <w:r w:rsidRPr="006853B2">
        <w:rPr>
          <w:b/>
          <w:bCs/>
          <w:i/>
          <w:iCs/>
          <w:noProof/>
        </w:rPr>
        <w:t>Journal of Personality and Social Psychology</w:t>
      </w:r>
      <w:r w:rsidRPr="006853B2">
        <w:rPr>
          <w:noProof/>
        </w:rPr>
        <w:t>, 94(1): 168–182.</w:t>
      </w:r>
    </w:p>
    <w:p w14:paraId="23D10ECE"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Schmoch, U. 2008. Concept of a technology classification for country comparisons. </w:t>
      </w:r>
      <w:r w:rsidRPr="006853B2">
        <w:rPr>
          <w:b/>
          <w:bCs/>
          <w:i/>
          <w:iCs/>
          <w:noProof/>
        </w:rPr>
        <w:t>Final report to the World Intellectual Property Organization (WIPO)</w:t>
      </w:r>
      <w:r w:rsidRPr="006853B2">
        <w:rPr>
          <w:noProof/>
        </w:rPr>
        <w:t>.</w:t>
      </w:r>
    </w:p>
    <w:p w14:paraId="2631B008"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Schumpeter, J. A. 1934a. The theory of economic development. </w:t>
      </w:r>
      <w:r w:rsidRPr="006853B2">
        <w:rPr>
          <w:b/>
          <w:bCs/>
          <w:i/>
          <w:iCs/>
          <w:noProof/>
        </w:rPr>
        <w:t>The Theory of Economic Development</w:t>
      </w:r>
      <w:r w:rsidRPr="006853B2">
        <w:rPr>
          <w:noProof/>
        </w:rPr>
        <w:t>. Cambridge, MA: Harvard University Press.</w:t>
      </w:r>
    </w:p>
    <w:p w14:paraId="5B3AE96A"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Schumpeter, J. A. 1934b. </w:t>
      </w:r>
      <w:r w:rsidRPr="006853B2">
        <w:rPr>
          <w:b/>
          <w:bCs/>
          <w:i/>
          <w:iCs/>
          <w:noProof/>
        </w:rPr>
        <w:t>Capitalism, socialism, and democracy</w:t>
      </w:r>
      <w:r w:rsidRPr="006853B2">
        <w:rPr>
          <w:noProof/>
        </w:rPr>
        <w:t>. New York: Harper &amp; Row.</w:t>
      </w:r>
    </w:p>
    <w:p w14:paraId="7E195E6C"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Shapiro, C. 1983. Premiums for high quality products as returns to reputations. </w:t>
      </w:r>
      <w:r w:rsidRPr="006853B2">
        <w:rPr>
          <w:b/>
          <w:bCs/>
          <w:i/>
          <w:iCs/>
          <w:noProof/>
        </w:rPr>
        <w:t>The Quarterly Journal of Economics</w:t>
      </w:r>
      <w:r w:rsidRPr="006853B2">
        <w:rPr>
          <w:noProof/>
        </w:rPr>
        <w:t>, 98(4): 659.</w:t>
      </w:r>
    </w:p>
    <w:p w14:paraId="2E484A0D"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Singh, J., &amp; Fleming, L. 2010. Lone inventors as sources of breakthroughs: Myth or reality? </w:t>
      </w:r>
      <w:r w:rsidRPr="006853B2">
        <w:rPr>
          <w:b/>
          <w:bCs/>
          <w:i/>
          <w:iCs/>
          <w:noProof/>
        </w:rPr>
        <w:t>Management Science</w:t>
      </w:r>
      <w:r w:rsidRPr="006853B2">
        <w:rPr>
          <w:noProof/>
        </w:rPr>
        <w:t>, 56(1): 41–56.</w:t>
      </w:r>
    </w:p>
    <w:p w14:paraId="264D8F18"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Staiger, D., &amp; Stock, J. H. 1997. Instrumental variables regression with weak instruments. </w:t>
      </w:r>
      <w:r w:rsidRPr="006853B2">
        <w:rPr>
          <w:b/>
          <w:bCs/>
          <w:i/>
          <w:iCs/>
          <w:noProof/>
        </w:rPr>
        <w:t>Econometrica</w:t>
      </w:r>
      <w:r w:rsidRPr="006853B2">
        <w:rPr>
          <w:noProof/>
        </w:rPr>
        <w:t>, 65(3): 557.</w:t>
      </w:r>
    </w:p>
    <w:p w14:paraId="0877524E"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Staw, B. M. 2009. Is group creativity really an oxymoron? Some thoughts on bridging the cohesion-creativity divide. </w:t>
      </w:r>
      <w:r w:rsidRPr="006853B2">
        <w:rPr>
          <w:b/>
          <w:bCs/>
          <w:i/>
          <w:iCs/>
          <w:noProof/>
        </w:rPr>
        <w:t>Research on Managing Groups and Teams</w:t>
      </w:r>
      <w:r w:rsidRPr="006853B2">
        <w:rPr>
          <w:noProof/>
        </w:rPr>
        <w:t>, vol. 12: 311–323.</w:t>
      </w:r>
    </w:p>
    <w:p w14:paraId="649D31DB"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Su, R., Rounds, J., &amp; Armstrong, P. I. 2009. Men and things, women and people: A meta-analysis of sex differences in interests. </w:t>
      </w:r>
      <w:r w:rsidRPr="006853B2">
        <w:rPr>
          <w:b/>
          <w:bCs/>
          <w:i/>
          <w:iCs/>
          <w:noProof/>
        </w:rPr>
        <w:t>Psychological Bulletin</w:t>
      </w:r>
      <w:r w:rsidRPr="006853B2">
        <w:rPr>
          <w:noProof/>
        </w:rPr>
        <w:t>, 135(6): 859–884.</w:t>
      </w:r>
    </w:p>
    <w:p w14:paraId="7D8E8F3F"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lastRenderedPageBreak/>
        <w:t xml:space="preserve">Sugimoto, C. R., Ni, C., West, J. D., &amp; Larivière, V. 2015. The academic advantage: Gender disparities in patenting. </w:t>
      </w:r>
      <w:r w:rsidRPr="006853B2">
        <w:rPr>
          <w:b/>
          <w:bCs/>
          <w:i/>
          <w:iCs/>
          <w:noProof/>
        </w:rPr>
        <w:t>PLoS ONE</w:t>
      </w:r>
      <w:r w:rsidRPr="006853B2">
        <w:rPr>
          <w:noProof/>
        </w:rPr>
        <w:t>, 10(5).</w:t>
      </w:r>
    </w:p>
    <w:p w14:paraId="611A6B48"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Tobin, J. 1958. Estimation of relationships for limited dependent variables. </w:t>
      </w:r>
      <w:r w:rsidRPr="006853B2">
        <w:rPr>
          <w:b/>
          <w:bCs/>
          <w:i/>
          <w:iCs/>
          <w:noProof/>
        </w:rPr>
        <w:t>Econometrica</w:t>
      </w:r>
      <w:r w:rsidRPr="006853B2">
        <w:rPr>
          <w:noProof/>
        </w:rPr>
        <w:t>, 26(1): 24.</w:t>
      </w:r>
    </w:p>
    <w:p w14:paraId="4D928BB0"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Tunzelmann, G. N. 1998. Localized technological search And multi-technology companies. </w:t>
      </w:r>
      <w:r w:rsidRPr="006853B2">
        <w:rPr>
          <w:b/>
          <w:bCs/>
          <w:i/>
          <w:iCs/>
          <w:noProof/>
        </w:rPr>
        <w:t>Economics of Innovation and New Technology</w:t>
      </w:r>
      <w:r w:rsidRPr="006853B2">
        <w:rPr>
          <w:noProof/>
        </w:rPr>
        <w:t>, 6(3): 231–255.</w:t>
      </w:r>
    </w:p>
    <w:p w14:paraId="0A05B34F"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Tzabbar, D., &amp; Kehoe, R. R. 2014. Can opportunity emerge from disarray? An examination of exploration and exploitation following star scientist turnover. </w:t>
      </w:r>
      <w:r w:rsidRPr="006853B2">
        <w:rPr>
          <w:b/>
          <w:bCs/>
          <w:i/>
          <w:iCs/>
          <w:noProof/>
        </w:rPr>
        <w:t>Journal of Management</w:t>
      </w:r>
      <w:r w:rsidRPr="006853B2">
        <w:rPr>
          <w:noProof/>
        </w:rPr>
        <w:t>, 40(2): 449–482.</w:t>
      </w:r>
    </w:p>
    <w:p w14:paraId="17BCA569"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Tzabbar, D., &amp; Vestal, A. 2015. Bridging the social chasm in geographically distributed R&amp;D teams: The moderating effects of relational strength and status asymmetry on the novelty of team innovation. </w:t>
      </w:r>
      <w:r w:rsidRPr="006853B2">
        <w:rPr>
          <w:b/>
          <w:bCs/>
          <w:i/>
          <w:iCs/>
          <w:noProof/>
        </w:rPr>
        <w:t>Organization Science</w:t>
      </w:r>
      <w:r w:rsidRPr="006853B2">
        <w:rPr>
          <w:noProof/>
        </w:rPr>
        <w:t>, 26(3): 811–829.</w:t>
      </w:r>
    </w:p>
    <w:p w14:paraId="3B225A1A" w14:textId="55F79DCA"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U.S. Bureau of Labor Statistics. 2016. Employed persons by detailed occupation, race, and Hispanic or Latino ethnicity. </w:t>
      </w:r>
      <w:r w:rsidRPr="006853B2">
        <w:rPr>
          <w:b/>
          <w:bCs/>
          <w:i/>
          <w:iCs/>
          <w:noProof/>
        </w:rPr>
        <w:t>Labor force statistics from the Current Population Survey</w:t>
      </w:r>
      <w:r w:rsidRPr="006853B2">
        <w:rPr>
          <w:noProof/>
        </w:rPr>
        <w:t>. https://www.bls.gov/cps/cpsaat11.htm.</w:t>
      </w:r>
      <w:r w:rsidR="006634C4">
        <w:rPr>
          <w:noProof/>
        </w:rPr>
        <w:t xml:space="preserve"> </w:t>
      </w:r>
      <w:r w:rsidR="006634C4" w:rsidRPr="006634C4">
        <w:rPr>
          <w:noProof/>
        </w:rPr>
        <w:t>(accessed on December, 3 2020).</w:t>
      </w:r>
    </w:p>
    <w:p w14:paraId="2FE770B0" w14:textId="7E8F9A15"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USPTO. 2019. </w:t>
      </w:r>
      <w:r w:rsidRPr="006853B2">
        <w:rPr>
          <w:b/>
          <w:bCs/>
          <w:i/>
          <w:iCs/>
          <w:noProof/>
        </w:rPr>
        <w:t>Progress and potential: A profile of women inventors on U.S. patents</w:t>
      </w:r>
      <w:r w:rsidRPr="006853B2">
        <w:rPr>
          <w:noProof/>
        </w:rPr>
        <w:t>. https://www.uspto.gov/ip-policy/economic-research/publications/reports/progress-potential</w:t>
      </w:r>
      <w:r w:rsidR="006634C4">
        <w:rPr>
          <w:noProof/>
        </w:rPr>
        <w:t xml:space="preserve"> </w:t>
      </w:r>
      <w:r w:rsidR="006634C4" w:rsidRPr="006634C4">
        <w:rPr>
          <w:noProof/>
        </w:rPr>
        <w:t>(accessed on December, 3 2020).</w:t>
      </w:r>
    </w:p>
    <w:p w14:paraId="5CDAD039"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Uzzi, B., &amp; Spiro, J. 2005. Collaboration and creativity: The small world problem. </w:t>
      </w:r>
      <w:r w:rsidRPr="006853B2">
        <w:rPr>
          <w:b/>
          <w:bCs/>
          <w:i/>
          <w:iCs/>
          <w:noProof/>
        </w:rPr>
        <w:t>American Journal of Sociology</w:t>
      </w:r>
      <w:r w:rsidRPr="006853B2">
        <w:rPr>
          <w:noProof/>
        </w:rPr>
        <w:t>, 111(2): 447–504.</w:t>
      </w:r>
    </w:p>
    <w:p w14:paraId="51731510"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Van der Vegt, G. S., de Jong, S. B., Bunderson, J. S., &amp; Molleman, E. 2010. Power asymmetry and learning in teams: The moderating role of performance feedback. </w:t>
      </w:r>
      <w:r w:rsidRPr="006853B2">
        <w:rPr>
          <w:b/>
          <w:bCs/>
          <w:i/>
          <w:iCs/>
          <w:noProof/>
        </w:rPr>
        <w:t>Organization Science</w:t>
      </w:r>
      <w:r w:rsidRPr="006853B2">
        <w:rPr>
          <w:noProof/>
        </w:rPr>
        <w:t>, 21(2): 347–361.</w:t>
      </w:r>
    </w:p>
    <w:p w14:paraId="46FBF867"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Van Knippenberg, D., De Dreu, C. K. W., &amp; Homan, A. C. 2004. Work group diversity and group performance: An integrative model and research agenda. </w:t>
      </w:r>
      <w:r w:rsidRPr="006853B2">
        <w:rPr>
          <w:b/>
          <w:bCs/>
          <w:i/>
          <w:iCs/>
          <w:noProof/>
        </w:rPr>
        <w:t>Journal of Applied Psychology</w:t>
      </w:r>
      <w:r w:rsidRPr="006853B2">
        <w:rPr>
          <w:noProof/>
        </w:rPr>
        <w:t>, 89(6): 1008–1022.</w:t>
      </w:r>
    </w:p>
    <w:p w14:paraId="4B756F58"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Wais, K. 2016. Gender prediction methods based on first names with genderizeR. </w:t>
      </w:r>
      <w:r w:rsidRPr="006853B2">
        <w:rPr>
          <w:b/>
          <w:bCs/>
          <w:i/>
          <w:iCs/>
          <w:noProof/>
        </w:rPr>
        <w:t>R Journal</w:t>
      </w:r>
      <w:r w:rsidRPr="006853B2">
        <w:rPr>
          <w:noProof/>
        </w:rPr>
        <w:t>, 8(1): 17–37.</w:t>
      </w:r>
    </w:p>
    <w:p w14:paraId="733D5A55"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Williams, M., &amp; Polman, E. 2015. Is it me or her? How gender composition evokes interpersonally sensitive behavior on collaborative cross-boundary projects. </w:t>
      </w:r>
      <w:r w:rsidRPr="006853B2">
        <w:rPr>
          <w:b/>
          <w:bCs/>
          <w:i/>
          <w:iCs/>
          <w:noProof/>
        </w:rPr>
        <w:t>Organization Science</w:t>
      </w:r>
      <w:r w:rsidRPr="006853B2">
        <w:rPr>
          <w:noProof/>
        </w:rPr>
        <w:t>, 26(2): 334–355.</w:t>
      </w:r>
    </w:p>
    <w:p w14:paraId="13BF6724"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Wooldridge, J. 2002. </w:t>
      </w:r>
      <w:r w:rsidRPr="006853B2">
        <w:rPr>
          <w:b/>
          <w:bCs/>
          <w:i/>
          <w:iCs/>
          <w:noProof/>
        </w:rPr>
        <w:t>Economic analysis of cross-section and panel data</w:t>
      </w:r>
      <w:r w:rsidRPr="006853B2">
        <w:rPr>
          <w:noProof/>
        </w:rPr>
        <w:t>. London: The MIT Press.</w:t>
      </w:r>
    </w:p>
    <w:p w14:paraId="30E49816"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Woolley, A. W., Chabris, C. F., Pentland, A., Hashmi, N., &amp; Malone, T. W. 2010. Evidence for a collective intelligence factor in the performance of human groups. </w:t>
      </w:r>
      <w:r w:rsidRPr="006853B2">
        <w:rPr>
          <w:b/>
          <w:bCs/>
          <w:i/>
          <w:iCs/>
          <w:noProof/>
        </w:rPr>
        <w:t>Science</w:t>
      </w:r>
      <w:r w:rsidRPr="006853B2">
        <w:rPr>
          <w:noProof/>
        </w:rPr>
        <w:t>, 330(6004): 686–688.</w:t>
      </w:r>
    </w:p>
    <w:p w14:paraId="4CAB4CD2"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Wuchty, S., Jones, B. F., &amp; Uzzi, B. 2007. The increasing dominance of teams in production of knowledge. </w:t>
      </w:r>
      <w:r w:rsidRPr="006853B2">
        <w:rPr>
          <w:b/>
          <w:bCs/>
          <w:i/>
          <w:iCs/>
          <w:noProof/>
        </w:rPr>
        <w:t>Science</w:t>
      </w:r>
      <w:r w:rsidRPr="006853B2">
        <w:rPr>
          <w:noProof/>
        </w:rPr>
        <w:t>, 316(5827): 1036–1039.</w:t>
      </w:r>
    </w:p>
    <w:p w14:paraId="62AF0368"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Zhou, J., Shin, S. J., Brass, D. J., Choi, J., &amp; Zhang, Z. X. 2009. Social networks, personal values, and creativity: evidence for curvilinear and interaction effects. </w:t>
      </w:r>
      <w:r w:rsidRPr="006853B2">
        <w:rPr>
          <w:b/>
          <w:bCs/>
          <w:i/>
          <w:iCs/>
          <w:noProof/>
        </w:rPr>
        <w:t>Journal of Applied Psychology</w:t>
      </w:r>
      <w:r w:rsidRPr="006853B2">
        <w:rPr>
          <w:noProof/>
        </w:rPr>
        <w:t>, 94(6): 1544–1552.</w:t>
      </w:r>
    </w:p>
    <w:p w14:paraId="6F2294EE"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Zucker, L. G., &amp; Darby, M. R. 1996. Star scientists and institutional transformation: Patterns of invention and innovation in the formation of the biotechnology industry. </w:t>
      </w:r>
      <w:r w:rsidRPr="006853B2">
        <w:rPr>
          <w:b/>
          <w:bCs/>
          <w:i/>
          <w:iCs/>
          <w:noProof/>
        </w:rPr>
        <w:t>Proceedings of the National Academy of Sciences of the United States of America</w:t>
      </w:r>
      <w:r w:rsidRPr="006853B2">
        <w:rPr>
          <w:noProof/>
        </w:rPr>
        <w:t>, 93(23): 12709–12716.</w:t>
      </w:r>
    </w:p>
    <w:p w14:paraId="1CB85ABC" w14:textId="77777777" w:rsidR="006853B2" w:rsidRPr="006853B2" w:rsidRDefault="006853B2" w:rsidP="00A0364C">
      <w:pPr>
        <w:widowControl w:val="0"/>
        <w:autoSpaceDE w:val="0"/>
        <w:autoSpaceDN w:val="0"/>
        <w:adjustRightInd w:val="0"/>
        <w:spacing w:before="0" w:line="240" w:lineRule="auto"/>
        <w:ind w:left="480" w:hanging="480"/>
        <w:rPr>
          <w:noProof/>
        </w:rPr>
      </w:pPr>
      <w:r w:rsidRPr="006853B2">
        <w:rPr>
          <w:noProof/>
        </w:rPr>
        <w:t xml:space="preserve">Zucker, L. G., Darby, M. R., &amp; Brewer, M. B. 1998. Intellectual human capital and the birth of U.S. biotechnology enterprises. </w:t>
      </w:r>
      <w:r w:rsidRPr="006853B2">
        <w:rPr>
          <w:b/>
          <w:bCs/>
          <w:i/>
          <w:iCs/>
          <w:noProof/>
        </w:rPr>
        <w:t>American Economic Review</w:t>
      </w:r>
      <w:r w:rsidRPr="006853B2">
        <w:rPr>
          <w:noProof/>
        </w:rPr>
        <w:t>, 88(1): 290–306.</w:t>
      </w:r>
    </w:p>
    <w:p w14:paraId="56091E58" w14:textId="77777777" w:rsidR="00621225" w:rsidRPr="00D750CA" w:rsidRDefault="00621225" w:rsidP="00A0364C">
      <w:pPr>
        <w:spacing w:line="240" w:lineRule="auto"/>
      </w:pPr>
      <w:r>
        <w:fldChar w:fldCharType="end"/>
      </w:r>
    </w:p>
    <w:p w14:paraId="39B2F3B1" w14:textId="0100FE3C" w:rsidR="00567FDE" w:rsidRDefault="00567FDE" w:rsidP="00567FDE">
      <w:pPr>
        <w:ind w:firstLine="0"/>
        <w:rPr>
          <w:b/>
          <w:u w:val="single"/>
        </w:rPr>
      </w:pPr>
      <w:r>
        <w:rPr>
          <w:b/>
          <w:u w:val="single"/>
        </w:rPr>
        <w:lastRenderedPageBreak/>
        <w:t>List of Figures</w:t>
      </w:r>
      <w:r w:rsidR="00D17D90">
        <w:rPr>
          <w:b/>
          <w:u w:val="single"/>
        </w:rPr>
        <w:t xml:space="preserve"> and Tables</w:t>
      </w:r>
    </w:p>
    <w:p w14:paraId="6A297F19" w14:textId="77777777" w:rsidR="00567FDE" w:rsidRPr="004E2101" w:rsidRDefault="00567FDE" w:rsidP="00567FDE">
      <w:pPr>
        <w:ind w:firstLine="0"/>
        <w:rPr>
          <w:b/>
        </w:rPr>
      </w:pPr>
      <w:r w:rsidRPr="004E2101">
        <w:rPr>
          <w:b/>
        </w:rPr>
        <w:t>Figures</w:t>
      </w:r>
    </w:p>
    <w:p w14:paraId="54FDD4B9" w14:textId="77777777" w:rsidR="00567FDE" w:rsidRDefault="00567FDE" w:rsidP="00567FDE">
      <w:pPr>
        <w:ind w:firstLine="0"/>
      </w:pPr>
      <w:r w:rsidRPr="0067264E">
        <w:t>Figure 1: Exemplary identification of star inventors</w:t>
      </w:r>
    </w:p>
    <w:p w14:paraId="28D6939A" w14:textId="77777777" w:rsidR="00567FDE" w:rsidRDefault="00567FDE" w:rsidP="00567FDE">
      <w:pPr>
        <w:ind w:firstLine="0"/>
      </w:pPr>
      <w:r w:rsidRPr="000C3563">
        <w:t>Figure 2: Distribution of knowledge recombination breadth</w:t>
      </w:r>
    </w:p>
    <w:p w14:paraId="4AE93EFB" w14:textId="4713DD07" w:rsidR="00567FDE" w:rsidRPr="009E1739" w:rsidRDefault="009E1739" w:rsidP="00567FDE">
      <w:pPr>
        <w:ind w:firstLine="0"/>
        <w:rPr>
          <w:b/>
        </w:rPr>
      </w:pPr>
      <w:r>
        <w:rPr>
          <w:b/>
        </w:rPr>
        <w:t>Tables</w:t>
      </w:r>
    </w:p>
    <w:p w14:paraId="7121FA53" w14:textId="25F7E09C" w:rsidR="00567FDE" w:rsidRPr="00DF4F00" w:rsidRDefault="00567FDE" w:rsidP="00567FDE">
      <w:pPr>
        <w:ind w:firstLine="0"/>
      </w:pPr>
      <w:r w:rsidRPr="00DF4F00">
        <w:rPr>
          <w:noProof/>
        </w:rPr>
        <w:t xml:space="preserve">Table 1: </w:t>
      </w:r>
      <w:r w:rsidR="00022E78">
        <w:rPr>
          <w:noProof/>
        </w:rPr>
        <w:t>P</w:t>
      </w:r>
      <w:r w:rsidR="00E86403">
        <w:rPr>
          <w:noProof/>
        </w:rPr>
        <w:t>robit</w:t>
      </w:r>
      <w:r w:rsidR="00022E78" w:rsidRPr="00DF4F00">
        <w:rPr>
          <w:noProof/>
        </w:rPr>
        <w:t xml:space="preserve"> </w:t>
      </w:r>
      <w:r w:rsidRPr="00DF4F00">
        <w:rPr>
          <w:noProof/>
        </w:rPr>
        <w:t>regression of female star on inventor team characteristics before and after matching</w:t>
      </w:r>
    </w:p>
    <w:p w14:paraId="3F8D2582" w14:textId="77777777" w:rsidR="00567FDE" w:rsidRPr="00DF4F00" w:rsidRDefault="00567FDE" w:rsidP="00567FDE">
      <w:pPr>
        <w:ind w:firstLine="0"/>
        <w:rPr>
          <w:noProof/>
        </w:rPr>
      </w:pPr>
      <w:r w:rsidRPr="00DF4F00">
        <w:rPr>
          <w:noProof/>
        </w:rPr>
        <w:t>Table 2: Descriptive statistics and variable overview</w:t>
      </w:r>
    </w:p>
    <w:p w14:paraId="24E4C0AC" w14:textId="77777777" w:rsidR="00567FDE" w:rsidRPr="00DF4F00" w:rsidRDefault="00567FDE" w:rsidP="00567FDE">
      <w:pPr>
        <w:ind w:firstLine="0"/>
      </w:pPr>
      <w:r w:rsidRPr="00DF4F00">
        <w:t>Table 3: Correlation matrix</w:t>
      </w:r>
    </w:p>
    <w:p w14:paraId="76C05528" w14:textId="77777777" w:rsidR="00567FDE" w:rsidRPr="00DF4F00" w:rsidRDefault="00567FDE" w:rsidP="00567FDE">
      <w:pPr>
        <w:ind w:firstLine="0"/>
      </w:pPr>
      <w:r w:rsidRPr="00DF4F00">
        <w:t>Table 4: Linear regression of knowledge recombination breadth on female star patent</w:t>
      </w:r>
    </w:p>
    <w:p w14:paraId="4B8FD518" w14:textId="317077AC" w:rsidR="00567FDE" w:rsidRDefault="00567FDE" w:rsidP="00567FDE">
      <w:pPr>
        <w:ind w:firstLine="0"/>
      </w:pPr>
      <w:r w:rsidRPr="0042024A">
        <w:rPr>
          <w:noProof/>
        </w:rPr>
        <w:t xml:space="preserve">Table </w:t>
      </w:r>
      <w:r>
        <w:rPr>
          <w:noProof/>
        </w:rPr>
        <w:t>5</w:t>
      </w:r>
      <w:r w:rsidRPr="0042024A">
        <w:rPr>
          <w:noProof/>
        </w:rPr>
        <w:t>: 2SLS IV regression of knowledge recombination breadth on female star patent</w:t>
      </w:r>
      <w:r w:rsidRPr="00DF4F00">
        <w:t xml:space="preserve"> </w:t>
      </w:r>
    </w:p>
    <w:p w14:paraId="02384EA8" w14:textId="1A5DACCA" w:rsidR="00567FDE" w:rsidRPr="004B5B35" w:rsidRDefault="00567FDE" w:rsidP="00567FDE">
      <w:pPr>
        <w:ind w:firstLine="0"/>
      </w:pPr>
      <w:r w:rsidRPr="00DF4F00">
        <w:t xml:space="preserve">Table </w:t>
      </w:r>
      <w:r>
        <w:t>6</w:t>
      </w:r>
      <w:r w:rsidRPr="00DF4F00">
        <w:t>: Linear regression of knowledge recombination breadth on female star patent - moderated by no prior collaboration</w:t>
      </w:r>
    </w:p>
    <w:p w14:paraId="452E40C6" w14:textId="77777777" w:rsidR="00567FDE" w:rsidRDefault="00567FDE" w:rsidP="002D5DF5">
      <w:pPr>
        <w:spacing w:before="360"/>
        <w:ind w:firstLine="0"/>
        <w:rPr>
          <w:b/>
        </w:rPr>
      </w:pPr>
      <w:r w:rsidRPr="00AD7727">
        <w:rPr>
          <w:b/>
        </w:rPr>
        <w:t>Appendix</w:t>
      </w:r>
    </w:p>
    <w:p w14:paraId="1A77B930" w14:textId="68147C7B" w:rsidR="00567FDE" w:rsidRDefault="00567FDE" w:rsidP="00567FDE">
      <w:pPr>
        <w:ind w:firstLine="0"/>
      </w:pPr>
      <w:r>
        <w:t xml:space="preserve">Appendix 1: </w:t>
      </w:r>
      <w:r w:rsidR="00755FE0">
        <w:t xml:space="preserve">Gender designation process </w:t>
      </w:r>
    </w:p>
    <w:p w14:paraId="7E0814F7" w14:textId="57192A7E" w:rsidR="00567FDE" w:rsidRDefault="00567FDE" w:rsidP="00567FDE">
      <w:pPr>
        <w:ind w:firstLine="0"/>
      </w:pPr>
      <w:r>
        <w:t xml:space="preserve">Appendix 2: </w:t>
      </w:r>
      <w:r w:rsidR="00E80C54">
        <w:t>Representation of female star patents across time and fields</w:t>
      </w:r>
    </w:p>
    <w:p w14:paraId="05CAF41B" w14:textId="3FED981E" w:rsidR="00A66906" w:rsidRDefault="00A66906" w:rsidP="00567FDE">
      <w:pPr>
        <w:ind w:firstLine="0"/>
      </w:pPr>
      <w:r>
        <w:t>Appendix 3:</w:t>
      </w:r>
      <w:r w:rsidR="00755FE0">
        <w:t xml:space="preserve"> </w:t>
      </w:r>
      <w:r w:rsidR="00E80C54">
        <w:t xml:space="preserve">Distribution of inventor team and patent </w:t>
      </w:r>
      <w:r w:rsidR="00E80C54" w:rsidRPr="004701FD">
        <w:t>characteristics</w:t>
      </w:r>
      <w:r w:rsidR="00E80C54">
        <w:t xml:space="preserve"> for female v</w:t>
      </w:r>
      <w:r w:rsidR="00C77C2F">
        <w:t>ersus</w:t>
      </w:r>
      <w:r w:rsidR="00E80C54">
        <w:t xml:space="preserve"> male star patents before and after matching</w:t>
      </w:r>
    </w:p>
    <w:p w14:paraId="17194038" w14:textId="42ABC166" w:rsidR="00567FDE" w:rsidRDefault="00567FDE" w:rsidP="00567FDE">
      <w:pPr>
        <w:ind w:firstLine="0"/>
      </w:pPr>
      <w:r>
        <w:t xml:space="preserve">Appendix </w:t>
      </w:r>
      <w:r w:rsidR="00A66906">
        <w:t>4</w:t>
      </w:r>
      <w:r>
        <w:t>: Robustness checks</w:t>
      </w:r>
    </w:p>
    <w:p w14:paraId="1AC5DFCA" w14:textId="40D05E07" w:rsidR="00567FDE" w:rsidRPr="004B5B35" w:rsidRDefault="0026392B" w:rsidP="00567FDE">
      <w:pPr>
        <w:ind w:firstLine="0"/>
      </w:pPr>
      <w:r>
        <w:t xml:space="preserve">Appendix </w:t>
      </w:r>
      <w:r w:rsidR="00A66906">
        <w:t>5</w:t>
      </w:r>
      <w:r>
        <w:t>: Representativeness of the sample</w:t>
      </w:r>
    </w:p>
    <w:p w14:paraId="0BC64A18" w14:textId="08503FE8" w:rsidR="00D17D90" w:rsidRPr="00D17D90" w:rsidRDefault="00D17D90" w:rsidP="00292634">
      <w:pPr>
        <w:pStyle w:val="Heading1"/>
        <w:rPr>
          <w:rStyle w:val="Emphasis"/>
        </w:rPr>
      </w:pPr>
      <w:r w:rsidRPr="00D17D90">
        <w:rPr>
          <w:rStyle w:val="Emphasis"/>
        </w:rPr>
        <w:lastRenderedPageBreak/>
        <w:t>Figures and tables</w:t>
      </w:r>
    </w:p>
    <w:p w14:paraId="34271662" w14:textId="4382CB83" w:rsidR="00567FDE" w:rsidRPr="00D17D90" w:rsidRDefault="00567FDE" w:rsidP="009E1739">
      <w:pPr>
        <w:spacing w:line="360" w:lineRule="auto"/>
        <w:ind w:firstLine="0"/>
        <w:rPr>
          <w:rStyle w:val="Emphasis"/>
          <w:b/>
        </w:rPr>
      </w:pPr>
      <w:r w:rsidRPr="00D17D90">
        <w:rPr>
          <w:rStyle w:val="Emphasis"/>
          <w:b/>
        </w:rPr>
        <w:t>Figure 1: Exemplary identification of star inventors</w:t>
      </w:r>
    </w:p>
    <w:p w14:paraId="15098F37" w14:textId="77777777" w:rsidR="002D5DF5" w:rsidRDefault="00567FDE" w:rsidP="002D5DF5">
      <w:pPr>
        <w:ind w:firstLine="0"/>
        <w:rPr>
          <w:rStyle w:val="Emphasis"/>
          <w:b/>
        </w:rPr>
      </w:pPr>
      <w:r w:rsidRPr="004B5B35">
        <w:rPr>
          <w:noProof/>
        </w:rPr>
        <w:drawing>
          <wp:inline distT="0" distB="0" distL="0" distR="0" wp14:anchorId="671A6530" wp14:editId="7AA8D320">
            <wp:extent cx="4133850" cy="300627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xample_stars_field.png"/>
                    <pic:cNvPicPr/>
                  </pic:nvPicPr>
                  <pic:blipFill>
                    <a:blip r:embed="rId9">
                      <a:extLst>
                        <a:ext uri="{28A0092B-C50C-407E-A947-70E740481C1C}">
                          <a14:useLocalDpi xmlns:a14="http://schemas.microsoft.com/office/drawing/2010/main" val="0"/>
                        </a:ext>
                      </a:extLst>
                    </a:blip>
                    <a:stretch>
                      <a:fillRect/>
                    </a:stretch>
                  </pic:blipFill>
                  <pic:spPr>
                    <a:xfrm>
                      <a:off x="0" y="0"/>
                      <a:ext cx="4159154" cy="3024672"/>
                    </a:xfrm>
                    <a:prstGeom prst="rect">
                      <a:avLst/>
                    </a:prstGeom>
                  </pic:spPr>
                </pic:pic>
              </a:graphicData>
            </a:graphic>
          </wp:inline>
        </w:drawing>
      </w:r>
    </w:p>
    <w:p w14:paraId="42E425E7" w14:textId="42E2E21F" w:rsidR="00567FDE" w:rsidRPr="00A0768A" w:rsidRDefault="00567FDE" w:rsidP="002D5DF5">
      <w:pPr>
        <w:ind w:firstLine="0"/>
        <w:rPr>
          <w:rStyle w:val="Emphasis"/>
          <w:b/>
        </w:rPr>
      </w:pPr>
      <w:r w:rsidRPr="00A0768A">
        <w:rPr>
          <w:rStyle w:val="Emphasis"/>
          <w:b/>
        </w:rPr>
        <w:t>Figure 2: Distribution of knowledge recombination breadth</w:t>
      </w:r>
    </w:p>
    <w:p w14:paraId="458EEEAD" w14:textId="77777777" w:rsidR="00567FDE" w:rsidRDefault="00567FDE" w:rsidP="00567FDE">
      <w:pPr>
        <w:ind w:firstLine="0"/>
      </w:pPr>
      <w:r>
        <w:rPr>
          <w:noProof/>
        </w:rPr>
        <w:drawing>
          <wp:inline distT="0" distB="0" distL="0" distR="0" wp14:anchorId="39B87A05" wp14:editId="752DF458">
            <wp:extent cx="4820014" cy="350546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4820014" cy="3505464"/>
                    </a:xfrm>
                    <a:prstGeom prst="rect">
                      <a:avLst/>
                    </a:prstGeom>
                    <a:noFill/>
                    <a:ln>
                      <a:noFill/>
                    </a:ln>
                  </pic:spPr>
                </pic:pic>
              </a:graphicData>
            </a:graphic>
          </wp:inline>
        </w:drawing>
      </w:r>
    </w:p>
    <w:p w14:paraId="176741EF" w14:textId="77777777" w:rsidR="00567FDE" w:rsidRDefault="00567FDE" w:rsidP="00567FDE">
      <w:pPr>
        <w:ind w:firstLine="0"/>
        <w:rPr>
          <w:noProof/>
        </w:rPr>
      </w:pPr>
    </w:p>
    <w:p w14:paraId="4C421768" w14:textId="160EBBF8" w:rsidR="00567FDE" w:rsidRPr="00A0768A" w:rsidRDefault="00567FDE" w:rsidP="009E1739">
      <w:pPr>
        <w:spacing w:line="360" w:lineRule="auto"/>
        <w:ind w:firstLine="0"/>
        <w:rPr>
          <w:rStyle w:val="Emphasis"/>
          <w:b/>
        </w:rPr>
      </w:pPr>
      <w:r w:rsidRPr="00A0768A">
        <w:rPr>
          <w:rStyle w:val="Emphasis"/>
          <w:b/>
        </w:rPr>
        <w:lastRenderedPageBreak/>
        <w:t xml:space="preserve">Table 1: </w:t>
      </w:r>
      <w:proofErr w:type="spellStart"/>
      <w:r w:rsidR="00E86403" w:rsidRPr="00A0768A">
        <w:rPr>
          <w:rStyle w:val="Emphasis"/>
          <w:b/>
        </w:rPr>
        <w:t>Probit</w:t>
      </w:r>
      <w:proofErr w:type="spellEnd"/>
      <w:r w:rsidR="00E86403" w:rsidRPr="00A0768A">
        <w:rPr>
          <w:rStyle w:val="Emphasis"/>
          <w:b/>
        </w:rPr>
        <w:t xml:space="preserve"> </w:t>
      </w:r>
      <w:r w:rsidRPr="00A0768A">
        <w:rPr>
          <w:rStyle w:val="Emphasis"/>
          <w:b/>
        </w:rPr>
        <w:t>regression of female star on inventor team characteristics before and after matching</w:t>
      </w:r>
    </w:p>
    <w:p w14:paraId="1E88D94F" w14:textId="77777777" w:rsidR="00567FDE" w:rsidRDefault="00567FDE" w:rsidP="00567FDE">
      <w:pPr>
        <w:ind w:firstLine="0"/>
      </w:pPr>
      <w:r w:rsidRPr="00A17DCC">
        <w:rPr>
          <w:noProof/>
        </w:rPr>
        <w:drawing>
          <wp:inline distT="0" distB="0" distL="0" distR="0" wp14:anchorId="7F03CEB3" wp14:editId="501D973F">
            <wp:extent cx="4779737" cy="4629150"/>
            <wp:effectExtent l="0" t="0" r="190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96023" cy="4644923"/>
                    </a:xfrm>
                    <a:prstGeom prst="rect">
                      <a:avLst/>
                    </a:prstGeom>
                    <a:noFill/>
                    <a:ln>
                      <a:noFill/>
                    </a:ln>
                  </pic:spPr>
                </pic:pic>
              </a:graphicData>
            </a:graphic>
          </wp:inline>
        </w:drawing>
      </w:r>
      <w:r>
        <w:br w:type="page"/>
      </w:r>
    </w:p>
    <w:p w14:paraId="03056E17" w14:textId="77777777" w:rsidR="00567FDE" w:rsidRDefault="00567FDE" w:rsidP="00567FDE">
      <w:pPr>
        <w:ind w:firstLine="0"/>
        <w:sectPr w:rsidR="00567FDE" w:rsidSect="00F559E0">
          <w:headerReference w:type="default" r:id="rId12"/>
          <w:headerReference w:type="first" r:id="rId13"/>
          <w:footerReference w:type="first" r:id="rId14"/>
          <w:pgSz w:w="11906" w:h="16838"/>
          <w:pgMar w:top="1440" w:right="1440" w:bottom="1440" w:left="1440" w:header="708" w:footer="708" w:gutter="0"/>
          <w:cols w:space="708"/>
          <w:titlePg/>
          <w:docGrid w:linePitch="360"/>
        </w:sectPr>
      </w:pPr>
    </w:p>
    <w:p w14:paraId="489FD073" w14:textId="48EE2240" w:rsidR="00567FDE" w:rsidRDefault="00567FDE" w:rsidP="00D17D90">
      <w:pPr>
        <w:spacing w:line="360" w:lineRule="auto"/>
        <w:ind w:firstLine="0"/>
        <w:rPr>
          <w:noProof/>
        </w:rPr>
      </w:pPr>
      <w:r w:rsidRPr="00D17D90">
        <w:rPr>
          <w:rStyle w:val="Emphasis"/>
          <w:b/>
        </w:rPr>
        <w:lastRenderedPageBreak/>
        <w:t>Table 2: Descriptive statistics and variable overview</w:t>
      </w:r>
      <w:r w:rsidRPr="00DF4F00">
        <w:rPr>
          <w:noProof/>
        </w:rPr>
        <w:drawing>
          <wp:inline distT="0" distB="0" distL="0" distR="0" wp14:anchorId="1A402D39" wp14:editId="73F12088">
            <wp:extent cx="9055100" cy="5232373"/>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062085" cy="5236409"/>
                    </a:xfrm>
                    <a:prstGeom prst="rect">
                      <a:avLst/>
                    </a:prstGeom>
                    <a:noFill/>
                    <a:ln>
                      <a:noFill/>
                    </a:ln>
                  </pic:spPr>
                </pic:pic>
              </a:graphicData>
            </a:graphic>
          </wp:inline>
        </w:drawing>
      </w:r>
      <w:r>
        <w:rPr>
          <w:noProof/>
        </w:rPr>
        <w:br w:type="page"/>
      </w:r>
    </w:p>
    <w:p w14:paraId="360CAED4" w14:textId="77777777" w:rsidR="00567FDE" w:rsidRPr="00D17D90" w:rsidRDefault="00567FDE" w:rsidP="009E1739">
      <w:pPr>
        <w:spacing w:line="360" w:lineRule="auto"/>
        <w:ind w:firstLine="0"/>
        <w:rPr>
          <w:rStyle w:val="Emphasis"/>
          <w:b/>
        </w:rPr>
      </w:pPr>
      <w:r w:rsidRPr="00D17D90">
        <w:rPr>
          <w:rStyle w:val="Emphasis"/>
          <w:b/>
        </w:rPr>
        <w:lastRenderedPageBreak/>
        <w:t>Table 3: Correlation matrix</w:t>
      </w:r>
    </w:p>
    <w:p w14:paraId="1F9BD229" w14:textId="77777777" w:rsidR="00567FDE" w:rsidRDefault="00567FDE" w:rsidP="002D5DF5">
      <w:pPr>
        <w:tabs>
          <w:tab w:val="left" w:pos="11766"/>
        </w:tabs>
        <w:ind w:firstLine="0"/>
      </w:pPr>
      <w:r w:rsidRPr="009213E2">
        <w:rPr>
          <w:noProof/>
        </w:rPr>
        <w:drawing>
          <wp:inline distT="0" distB="0" distL="0" distR="0" wp14:anchorId="2953DAFB" wp14:editId="11049C83">
            <wp:extent cx="9174731" cy="4210050"/>
            <wp:effectExtent l="0" t="0" r="762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77802" cy="4211459"/>
                    </a:xfrm>
                    <a:prstGeom prst="rect">
                      <a:avLst/>
                    </a:prstGeom>
                    <a:noFill/>
                    <a:ln>
                      <a:noFill/>
                    </a:ln>
                  </pic:spPr>
                </pic:pic>
              </a:graphicData>
            </a:graphic>
          </wp:inline>
        </w:drawing>
      </w:r>
    </w:p>
    <w:p w14:paraId="37DA2BE3" w14:textId="77777777" w:rsidR="00567FDE" w:rsidRDefault="00567FDE" w:rsidP="00567FDE">
      <w:pPr>
        <w:ind w:firstLine="0"/>
      </w:pPr>
    </w:p>
    <w:p w14:paraId="47D277C2" w14:textId="77777777" w:rsidR="00567FDE" w:rsidRDefault="00567FDE" w:rsidP="00567FDE">
      <w:pPr>
        <w:ind w:firstLine="0"/>
        <w:sectPr w:rsidR="00567FDE" w:rsidSect="002708AE">
          <w:pgSz w:w="16838" w:h="11906" w:orient="landscape"/>
          <w:pgMar w:top="1440" w:right="1440" w:bottom="1440" w:left="1440" w:header="708" w:footer="708" w:gutter="0"/>
          <w:cols w:space="708"/>
          <w:docGrid w:linePitch="360"/>
        </w:sectPr>
      </w:pPr>
    </w:p>
    <w:p w14:paraId="70493493" w14:textId="77777777" w:rsidR="00567FDE" w:rsidRPr="00D17D90" w:rsidRDefault="00567FDE" w:rsidP="009E1739">
      <w:pPr>
        <w:spacing w:line="360" w:lineRule="auto"/>
        <w:ind w:firstLine="0"/>
        <w:rPr>
          <w:rStyle w:val="Emphasis"/>
          <w:b/>
        </w:rPr>
      </w:pPr>
      <w:r w:rsidRPr="00D17D90">
        <w:rPr>
          <w:rStyle w:val="Emphasis"/>
          <w:b/>
        </w:rPr>
        <w:lastRenderedPageBreak/>
        <w:t>Table 4: Linear regression of knowledge recombination breadth on female star patent</w:t>
      </w:r>
    </w:p>
    <w:p w14:paraId="2A696F32" w14:textId="77777777" w:rsidR="00567FDE" w:rsidRDefault="00567FDE" w:rsidP="00567FDE">
      <w:pPr>
        <w:ind w:firstLine="0"/>
        <w:sectPr w:rsidR="00567FDE" w:rsidSect="002708AE">
          <w:pgSz w:w="11906" w:h="16838"/>
          <w:pgMar w:top="1440" w:right="1440" w:bottom="1440" w:left="1440" w:header="708" w:footer="708" w:gutter="0"/>
          <w:cols w:space="708"/>
          <w:docGrid w:linePitch="360"/>
        </w:sectPr>
      </w:pPr>
      <w:r w:rsidRPr="00600913">
        <w:rPr>
          <w:noProof/>
        </w:rPr>
        <w:drawing>
          <wp:inline distT="0" distB="0" distL="0" distR="0" wp14:anchorId="78F51272" wp14:editId="6CD19CD7">
            <wp:extent cx="6243791" cy="7319963"/>
            <wp:effectExtent l="0" t="0" r="508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46987" cy="7323710"/>
                    </a:xfrm>
                    <a:prstGeom prst="rect">
                      <a:avLst/>
                    </a:prstGeom>
                    <a:noFill/>
                    <a:ln>
                      <a:noFill/>
                    </a:ln>
                  </pic:spPr>
                </pic:pic>
              </a:graphicData>
            </a:graphic>
          </wp:inline>
        </w:drawing>
      </w:r>
    </w:p>
    <w:p w14:paraId="0A71D8CF" w14:textId="77777777" w:rsidR="0092247B" w:rsidRDefault="00567FDE" w:rsidP="002D5DF5">
      <w:pPr>
        <w:spacing w:before="0" w:line="360" w:lineRule="auto"/>
        <w:ind w:firstLine="0"/>
        <w:rPr>
          <w:rStyle w:val="Emphasis"/>
          <w:b/>
        </w:rPr>
      </w:pPr>
      <w:r w:rsidRPr="00D17D90">
        <w:rPr>
          <w:rStyle w:val="Emphasis"/>
          <w:b/>
        </w:rPr>
        <w:lastRenderedPageBreak/>
        <w:t xml:space="preserve">Table 5: 2SLS IV regression of knowledge recombination breadth on female star patent </w:t>
      </w:r>
    </w:p>
    <w:p w14:paraId="68FA5107" w14:textId="0431A14F" w:rsidR="00567FDE" w:rsidRPr="00F72B52" w:rsidRDefault="00FF0067" w:rsidP="002D5DF5">
      <w:pPr>
        <w:spacing w:before="0" w:line="360" w:lineRule="auto"/>
        <w:ind w:firstLine="0"/>
      </w:pPr>
      <w:r w:rsidRPr="00231EED">
        <w:rPr>
          <w:noProof/>
        </w:rPr>
        <w:drawing>
          <wp:inline distT="0" distB="0" distL="0" distR="0" wp14:anchorId="7F060FA3" wp14:editId="2692EC68">
            <wp:extent cx="5289675" cy="8429625"/>
            <wp:effectExtent l="0" t="0" r="635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293413" cy="8435581"/>
                    </a:xfrm>
                    <a:prstGeom prst="rect">
                      <a:avLst/>
                    </a:prstGeom>
                    <a:noFill/>
                    <a:ln>
                      <a:noFill/>
                    </a:ln>
                  </pic:spPr>
                </pic:pic>
              </a:graphicData>
            </a:graphic>
          </wp:inline>
        </w:drawing>
      </w:r>
    </w:p>
    <w:p w14:paraId="660369A2" w14:textId="77777777" w:rsidR="00567FDE" w:rsidRPr="00D17D90" w:rsidRDefault="00567FDE" w:rsidP="009E1739">
      <w:pPr>
        <w:spacing w:line="360" w:lineRule="auto"/>
        <w:ind w:firstLine="0"/>
        <w:rPr>
          <w:rStyle w:val="Emphasis"/>
          <w:b/>
        </w:rPr>
      </w:pPr>
      <w:r w:rsidRPr="00D17D90">
        <w:rPr>
          <w:rStyle w:val="Emphasis"/>
          <w:b/>
        </w:rPr>
        <w:lastRenderedPageBreak/>
        <w:t>Table 6: Linear regression of knowledge recombination breadth on female star patent - moderated by no prior collaboration</w:t>
      </w:r>
    </w:p>
    <w:p w14:paraId="72CF3858" w14:textId="77777777" w:rsidR="00567FDE" w:rsidRDefault="00567FDE" w:rsidP="00567FDE">
      <w:pPr>
        <w:ind w:firstLine="0"/>
      </w:pPr>
      <w:r w:rsidRPr="009E6673">
        <w:rPr>
          <w:noProof/>
        </w:rPr>
        <w:drawing>
          <wp:inline distT="0" distB="0" distL="0" distR="0" wp14:anchorId="14BAE5D7" wp14:editId="61101A55">
            <wp:extent cx="4821283" cy="36576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827248" cy="3662126"/>
                    </a:xfrm>
                    <a:prstGeom prst="rect">
                      <a:avLst/>
                    </a:prstGeom>
                    <a:noFill/>
                    <a:ln>
                      <a:noFill/>
                    </a:ln>
                  </pic:spPr>
                </pic:pic>
              </a:graphicData>
            </a:graphic>
          </wp:inline>
        </w:drawing>
      </w:r>
      <w:r>
        <w:br w:type="page"/>
      </w:r>
    </w:p>
    <w:p w14:paraId="3D4E402C" w14:textId="3B3CE081" w:rsidR="00D17D90" w:rsidRDefault="00D17D90" w:rsidP="00292634">
      <w:pPr>
        <w:pStyle w:val="Heading1"/>
      </w:pPr>
      <w:r>
        <w:lastRenderedPageBreak/>
        <w:t>Appendix</w:t>
      </w:r>
    </w:p>
    <w:p w14:paraId="5793D831" w14:textId="15DD4379" w:rsidR="00755FE0" w:rsidRPr="00D17D90" w:rsidRDefault="00755FE0" w:rsidP="00755FE0">
      <w:pPr>
        <w:spacing w:line="360" w:lineRule="auto"/>
        <w:ind w:firstLine="0"/>
        <w:rPr>
          <w:b/>
        </w:rPr>
      </w:pPr>
      <w:r w:rsidRPr="00D17D90">
        <w:rPr>
          <w:b/>
        </w:rPr>
        <w:t xml:space="preserve">Appendix </w:t>
      </w:r>
      <w:r>
        <w:rPr>
          <w:b/>
        </w:rPr>
        <w:t>1</w:t>
      </w:r>
      <w:r w:rsidRPr="00D17D90">
        <w:rPr>
          <w:b/>
        </w:rPr>
        <w:t>: Description of the gender designation process</w:t>
      </w:r>
    </w:p>
    <w:p w14:paraId="5DD9A7EB" w14:textId="77777777" w:rsidR="00755FE0" w:rsidRDefault="00755FE0" w:rsidP="00755FE0">
      <w:r w:rsidRPr="00A5002A">
        <w:t xml:space="preserve">The </w:t>
      </w:r>
      <w:r>
        <w:t>accuracy and value</w:t>
      </w:r>
      <w:r w:rsidRPr="00A5002A">
        <w:t xml:space="preserve"> of our analysis </w:t>
      </w:r>
      <w:r>
        <w:t>hinges</w:t>
      </w:r>
      <w:r w:rsidRPr="00A5002A">
        <w:t xml:space="preserve"> on the </w:t>
      </w:r>
      <w:r>
        <w:t>correct</w:t>
      </w:r>
      <w:r w:rsidRPr="00A5002A">
        <w:t xml:space="preserve"> designation of the inventors</w:t>
      </w:r>
      <w:r>
        <w:t>’</w:t>
      </w:r>
      <w:r w:rsidRPr="00A5002A">
        <w:t xml:space="preserve"> gender</w:t>
      </w:r>
      <w:r>
        <w:t xml:space="preserve">. In general, there are two possible mistakes one can make: </w:t>
      </w:r>
      <w:proofErr w:type="spellStart"/>
      <w:r>
        <w:t>i</w:t>
      </w:r>
      <w:proofErr w:type="spellEnd"/>
      <w:r>
        <w:t xml:space="preserve">) identify stars as male even though they are female and ii) identify stars as female even though they are actually male. While both mistakes would lead to the true effects being underestimated, the second case is more concerning in our setting. If we consider female stars as the treatment and male stars as a control group, it would imply that we falsely sort units from the control to the treatment group. Given that the treatment group is much smaller than the control group (see Appendix 1), these “false treatments” would have a stronger effect on the average effect size estimated for the treatment group as a “false control” would have on the effect size estimated for the control group. We therefore employ several steps to reduce the risk that we make the second mistake, i.e. classify stars as female even though they are actually male. These steps will be outlined in the following. </w:t>
      </w:r>
    </w:p>
    <w:p w14:paraId="020BC43B" w14:textId="35144922" w:rsidR="00755FE0" w:rsidRDefault="00755FE0" w:rsidP="00755FE0">
      <w:r>
        <w:t>T</w:t>
      </w:r>
      <w:r w:rsidRPr="006125DD">
        <w:t xml:space="preserve">he USPTO collects limited information on </w:t>
      </w:r>
      <w:r>
        <w:t>patent</w:t>
      </w:r>
      <w:r w:rsidRPr="006125DD">
        <w:t xml:space="preserve"> inventors</w:t>
      </w:r>
      <w:r>
        <w:t xml:space="preserve"> (</w:t>
      </w:r>
      <w:r w:rsidRPr="006125DD">
        <w:t>full name</w:t>
      </w:r>
      <w:r>
        <w:t xml:space="preserve">, </w:t>
      </w:r>
      <w:r w:rsidRPr="006125DD">
        <w:t>city and state</w:t>
      </w:r>
      <w:r>
        <w:t>). T</w:t>
      </w:r>
      <w:r w:rsidRPr="00A5002A">
        <w:t>he</w:t>
      </w:r>
      <w:r>
        <w:t xml:space="preserve"> main</w:t>
      </w:r>
      <w:r w:rsidRPr="00A5002A">
        <w:t xml:space="preserve"> </w:t>
      </w:r>
      <w:r>
        <w:t xml:space="preserve">available </w:t>
      </w:r>
      <w:r w:rsidRPr="00A5002A">
        <w:t xml:space="preserve">information </w:t>
      </w:r>
      <w:r>
        <w:t>that</w:t>
      </w:r>
      <w:r w:rsidRPr="00A5002A">
        <w:t xml:space="preserve"> allows us to identify gender is the inventors</w:t>
      </w:r>
      <w:r>
        <w:t>’</w:t>
      </w:r>
      <w:r w:rsidRPr="00A5002A">
        <w:t xml:space="preserve"> first </w:t>
      </w:r>
      <w:r>
        <w:t>name(s), and potentially his or her country of residence. Various name-to-gender inference methods exist and are used for research purposes. These a</w:t>
      </w:r>
      <w:r w:rsidRPr="00A5002A">
        <w:t>lgorithms can predict a person’s</w:t>
      </w:r>
      <w:r>
        <w:t xml:space="preserve"> </w:t>
      </w:r>
      <w:r w:rsidRPr="00A5002A">
        <w:t xml:space="preserve">gender from their name </w:t>
      </w:r>
      <w:r>
        <w:t xml:space="preserve">with the help of </w:t>
      </w:r>
      <w:r w:rsidRPr="00A5002A">
        <w:t xml:space="preserve">large </w:t>
      </w:r>
      <w:r>
        <w:t>labeled datasets, sometimes</w:t>
      </w:r>
      <w:r w:rsidRPr="00A5002A">
        <w:t xml:space="preserve"> enriched with information from social media</w:t>
      </w:r>
      <w:r>
        <w:t>,</w:t>
      </w:r>
      <w:r w:rsidRPr="00A5002A">
        <w:t xml:space="preserve"> </w:t>
      </w:r>
      <w:r>
        <w:t>cultural background</w:t>
      </w:r>
      <w:r w:rsidRPr="00A5002A">
        <w:t>, and sociolinguistic</w:t>
      </w:r>
      <w:r>
        <w:t xml:space="preserve"> </w:t>
      </w:r>
      <w:r w:rsidRPr="00A5002A">
        <w:t>insights</w:t>
      </w:r>
      <w:r>
        <w:t xml:space="preserve"> </w:t>
      </w:r>
      <w:r>
        <w:fldChar w:fldCharType="begin" w:fldLock="1"/>
      </w:r>
      <w:r w:rsidR="00814EAA">
        <w:instrText>ADDIN CSL_CITATION {"citationItems":[{"id":"ITEM-1","itemData":{"DOI":"10.7717/peerj-cs.156","ISSN":"23765992","abstract":"The increased interest in analyzing and explaining gender inequalities in tech, media, and academia highlights the need for accurate inference methods to predict a person's gender from their name. Several such services exist that provide access to large databases of names, often enriched with information from social media profiles, culture-specific rules, and insights from sociolinguistics. We compare and benchmark five nameto- gender inference services by applying them to the classification of a test data set consisting of 7,076 manually labeled names. The compiled names are analyzed and characterized according to their geographical and cultural origin. We define a series of performance metrics to quantify various types of classification errors, and define a parameter tuning procedure to search for optimal values of the services' free parameters. Finally, we perform benchmarks of all services under study regarding several scenarios where a particular metric is to be optimized.","author":[{"dropping-particle":"","family":"Santamaría","given":"Lucía","non-dropping-particle":"","parse-names":false,"suffix":""},{"dropping-particle":"","family":"Mihaljević","given":"Helena","non-dropping-particle":"","parse-names":false,"suffix":""}],"container-title":"PeerJ Computer Science","id":"ITEM-1","issue":"7","issued":{"date-parts":[["2018"]]},"title":"Comparison and benchmark of name-to- gender inference services","type":"article-journal","volume":"2018"},"uris":["http://www.mendeley.com/documents/?uuid=b0bcd8b7-a4b1-368c-be93-d9f13325f076"]}],"mendeley":{"formattedCitation":"(Santamaría &amp; Mihaljević, 2018)","plainTextFormattedCitation":"(Santamaría &amp; Mihaljević, 2018)","previouslyFormattedCitation":"(Santamaría &amp; Mihaljević, 2018)"},"properties":{"noteIndex":0},"schema":"https://github.com/citation-style-language/schema/raw/master/csl-citation.json"}</w:instrText>
      </w:r>
      <w:r>
        <w:fldChar w:fldCharType="separate"/>
      </w:r>
      <w:r w:rsidR="00814EAA" w:rsidRPr="00814EAA">
        <w:rPr>
          <w:noProof/>
        </w:rPr>
        <w:t>(Santamaría &amp; Mihaljević, 2018)</w:t>
      </w:r>
      <w:r>
        <w:fldChar w:fldCharType="end"/>
      </w:r>
      <w:r>
        <w:t xml:space="preserve">. </w:t>
      </w:r>
    </w:p>
    <w:p w14:paraId="1873C774" w14:textId="29CB3023" w:rsidR="00755FE0" w:rsidRPr="00A5002A" w:rsidRDefault="00755FE0" w:rsidP="00755FE0">
      <w:r>
        <w:t>W</w:t>
      </w:r>
      <w:r w:rsidRPr="00A5002A">
        <w:t xml:space="preserve">e use the genderize.io API (https://genderize.io/) to </w:t>
      </w:r>
      <w:r>
        <w:t>designate</w:t>
      </w:r>
      <w:r w:rsidRPr="00A5002A">
        <w:t xml:space="preserve"> the star inventor</w:t>
      </w:r>
      <w:r>
        <w:t>’s</w:t>
      </w:r>
      <w:r w:rsidRPr="00A5002A">
        <w:t xml:space="preserve"> gender based on </w:t>
      </w:r>
      <w:r>
        <w:t>his or her</w:t>
      </w:r>
      <w:r w:rsidRPr="00A5002A">
        <w:t xml:space="preserve"> </w:t>
      </w:r>
      <w:r>
        <w:t>first name(</w:t>
      </w:r>
      <w:r w:rsidRPr="00A5002A">
        <w:t>s</w:t>
      </w:r>
      <w:r>
        <w:t>)</w:t>
      </w:r>
      <w:r w:rsidRPr="00A5002A">
        <w:t xml:space="preserve">. A useful feature of the genderize.io API is that it not only provides a gender prediction but also two </w:t>
      </w:r>
      <w:r>
        <w:t>indicators</w:t>
      </w:r>
      <w:r w:rsidRPr="00A5002A">
        <w:t xml:space="preserve"> for the prediction’s reliability. </w:t>
      </w:r>
      <w:r w:rsidRPr="00A5002A">
        <w:lastRenderedPageBreak/>
        <w:t xml:space="preserve">Genderize.io </w:t>
      </w:r>
      <w:r>
        <w:t>uses</w:t>
      </w:r>
      <w:r w:rsidRPr="00A5002A">
        <w:t xml:space="preserve"> social network profiles linked to specific </w:t>
      </w:r>
      <w:r>
        <w:t>first names</w:t>
      </w:r>
      <w:r w:rsidRPr="00A5002A">
        <w:t xml:space="preserve"> </w:t>
      </w:r>
      <w:r>
        <w:t>to</w:t>
      </w:r>
      <w:r w:rsidRPr="00A5002A">
        <w:t xml:space="preserve"> repor</w:t>
      </w:r>
      <w:r>
        <w:t>t</w:t>
      </w:r>
      <w:r w:rsidRPr="00A5002A">
        <w:t xml:space="preserve"> </w:t>
      </w:r>
      <w:r>
        <w:t xml:space="preserve">a gender as well as </w:t>
      </w:r>
      <w:r w:rsidRPr="00A5002A">
        <w:t>name count</w:t>
      </w:r>
      <w:r w:rsidRPr="00B336DE">
        <w:t xml:space="preserve"> </w:t>
      </w:r>
      <w:r>
        <w:t>and an</w:t>
      </w:r>
      <w:r w:rsidRPr="00A5002A">
        <w:t xml:space="preserve"> accuracy score</w:t>
      </w:r>
      <w:r>
        <w:t xml:space="preserve">. </w:t>
      </w:r>
      <w:r w:rsidRPr="00A5002A">
        <w:t>While the name count state</w:t>
      </w:r>
      <w:r>
        <w:t>s</w:t>
      </w:r>
      <w:r w:rsidRPr="00A5002A">
        <w:t xml:space="preserve"> how often a social network profile was linked to a </w:t>
      </w:r>
      <w:r>
        <w:t>particular</w:t>
      </w:r>
      <w:r w:rsidRPr="00A5002A">
        <w:t xml:space="preserve"> name, the accuracy score reports the percentage of profiles for which the name was associated with the predicted gender </w:t>
      </w:r>
      <w:r>
        <w:fldChar w:fldCharType="begin" w:fldLock="1"/>
      </w:r>
      <w:r w:rsidR="00814EAA">
        <w:instrText>ADDIN CSL_CITATION {"citationItems":[{"id":"ITEM-1","itemData":{"DOI":"10.32614/rj-2016-002","ISSN":"20734859","abstract":"In recent years, there has been increased interest in methods for gender prediction based on first names that employ various open data sources. These methods have applications from bibliometric studies to customizing commercial offers for web users. Analysis of gender disparities in science based on such methods are published in the most prestigious journals, although they could be improved by choosing the most suited prediction method with optimal parameters and performing validation studies using the best data source for a given purpose. There is also a need to monitor and report how well a given prediction method works in comparison to others. In this paper, the author recommends a set of tools (including one dedicated to gender prediction, the R package called genderizeR), data sources (including the genderize.io API), and metrics that could be fully reproduced and tested in order to choose the optimal approach suitable for different gender analyses.","author":[{"dropping-particle":"","family":"Wais","given":"Kamil","non-dropping-particle":"","parse-names":false,"suffix":""}],"container-title":"R Journal","id":"ITEM-1","issue":"1","issued":{"date-parts":[["2016"]]},"page":"17-37","title":"Gender prediction methods based on first names with genderizeR","type":"article-journal","volume":"8"},"uris":["http://www.mendeley.com/documents/?uuid=c1323bfa-c67f-45cb-a5fb-f713b4ce0c08"]}],"mendeley":{"formattedCitation":"(Wais, 2016)","plainTextFormattedCitation":"(Wais, 2016)","previouslyFormattedCitation":"(Wais, 2016)"},"properties":{"noteIndex":0},"schema":"https://github.com/citation-style-language/schema/raw/master/csl-citation.json"}</w:instrText>
      </w:r>
      <w:r>
        <w:fldChar w:fldCharType="separate"/>
      </w:r>
      <w:r w:rsidR="00814EAA" w:rsidRPr="00814EAA">
        <w:rPr>
          <w:noProof/>
        </w:rPr>
        <w:t>(Wais, 2016)</w:t>
      </w:r>
      <w:r>
        <w:fldChar w:fldCharType="end"/>
      </w:r>
      <w:r>
        <w:t>. Due to these advanced frequency and accuracy indicators</w:t>
      </w:r>
      <w:r w:rsidRPr="00E019CB">
        <w:t xml:space="preserve"> </w:t>
      </w:r>
      <w:r>
        <w:t xml:space="preserve">and because of its global and </w:t>
      </w:r>
      <w:r w:rsidRPr="00E019CB">
        <w:t xml:space="preserve">continuously growing </w:t>
      </w:r>
      <w:r>
        <w:t>reach, g</w:t>
      </w:r>
      <w:r w:rsidRPr="008E33EE">
        <w:t xml:space="preserve">enderize.io has been shown </w:t>
      </w:r>
      <w:r>
        <w:t xml:space="preserve">to offer strong advantages in </w:t>
      </w:r>
      <w:r w:rsidRPr="008E33EE">
        <w:t xml:space="preserve">comparison </w:t>
      </w:r>
      <w:r>
        <w:t xml:space="preserve">to other </w:t>
      </w:r>
      <w:r w:rsidRPr="008E33EE">
        <w:t>gender designation algorithms</w:t>
      </w:r>
      <w:r>
        <w:t xml:space="preserve"> </w:t>
      </w:r>
      <w:r>
        <w:fldChar w:fldCharType="begin" w:fldLock="1"/>
      </w:r>
      <w:r w:rsidR="00814EAA">
        <w:instrText>ADDIN CSL_CITATION {"citationItems":[{"id":"ITEM-1","itemData":{"DOI":"10.32614/rj-2016-002","ISSN":"20734859","abstract":"In recent years, there has been increased interest in methods for gender prediction based on first names that employ various open data sources. These methods have applications from bibliometric studies to customizing commercial offers for web users. Analysis of gender disparities in science based on such methods are published in the most prestigious journals, although they could be improved by choosing the most suited prediction method with optimal parameters and performing validation studies using the best data source for a given purpose. There is also a need to monitor and report how well a given prediction method works in comparison to others. In this paper, the author recommends a set of tools (including one dedicated to gender prediction, the R package called genderizeR), data sources (including the genderize.io API), and metrics that could be fully reproduced and tested in order to choose the optimal approach suitable for different gender analyses.","author":[{"dropping-particle":"","family":"Wais","given":"Kamil","non-dropping-particle":"","parse-names":false,"suffix":""}],"container-title":"R Journal","id":"ITEM-1","issue":"1","issued":{"date-parts":[["2016"]]},"page":"17-37","title":"Gender prediction methods based on first names with genderizeR","type":"article-journal","volume":"8"},"uris":["http://www.mendeley.com/documents/?uuid=c1323bfa-c67f-45cb-a5fb-f713b4ce0c08"]}],"mendeley":{"formattedCitation":"(Wais, 2016)","plainTextFormattedCitation":"(Wais, 2016)","previouslyFormattedCitation":"(Wais, 2016)"},"properties":{"noteIndex":0},"schema":"https://github.com/citation-style-language/schema/raw/master/csl-citation.json"}</w:instrText>
      </w:r>
      <w:r>
        <w:fldChar w:fldCharType="separate"/>
      </w:r>
      <w:r w:rsidR="00814EAA" w:rsidRPr="00814EAA">
        <w:rPr>
          <w:noProof/>
        </w:rPr>
        <w:t>(Wais, 2016)</w:t>
      </w:r>
      <w:r>
        <w:fldChar w:fldCharType="end"/>
      </w:r>
      <w:r>
        <w:t>.</w:t>
      </w:r>
    </w:p>
    <w:p w14:paraId="2CB77394" w14:textId="3DC9E2B2" w:rsidR="00755FE0" w:rsidRDefault="00755FE0" w:rsidP="00755FE0">
      <w:r>
        <w:t xml:space="preserve">A problem inherent in name-to-gender designation methods is that </w:t>
      </w:r>
      <w:r w:rsidRPr="00515DD3">
        <w:t xml:space="preserve">gender may </w:t>
      </w:r>
      <w:r>
        <w:t>depend on the</w:t>
      </w:r>
      <w:r w:rsidRPr="00515DD3">
        <w:t xml:space="preserve"> language spoken or </w:t>
      </w:r>
      <w:r>
        <w:t xml:space="preserve">the </w:t>
      </w:r>
      <w:r w:rsidRPr="00515DD3">
        <w:t>country of origin.</w:t>
      </w:r>
      <w:r>
        <w:t xml:space="preserve"> F</w:t>
      </w:r>
      <w:r w:rsidRPr="005C3EDB">
        <w:t xml:space="preserve">or some countries and ethnicities, it is difficult to derive </w:t>
      </w:r>
      <w:r>
        <w:t xml:space="preserve">a person’s </w:t>
      </w:r>
      <w:r w:rsidRPr="005C3EDB">
        <w:t>gender</w:t>
      </w:r>
      <w:r>
        <w:t xml:space="preserve"> from their first name</w:t>
      </w:r>
      <w:r w:rsidRPr="005C3EDB">
        <w:t>, particularly if the first name is not written in Latin script</w:t>
      </w:r>
      <w:r>
        <w:t xml:space="preserve"> and for languages for which meaning is derived</w:t>
      </w:r>
      <w:r w:rsidRPr="005C3EDB">
        <w:t xml:space="preserve"> </w:t>
      </w:r>
      <w:r>
        <w:t xml:space="preserve">from characters and </w:t>
      </w:r>
      <w:r w:rsidRPr="00E83899">
        <w:t>diacritics</w:t>
      </w:r>
      <w:r w:rsidRPr="005C3EDB">
        <w:t xml:space="preserve"> (e.g., Mandarin, Japanese)</w:t>
      </w:r>
      <w:r>
        <w:t>. In addition, there is a difference in the name order, commonly known as</w:t>
      </w:r>
      <w:r w:rsidRPr="00E83899">
        <w:t xml:space="preserve"> the Eastern</w:t>
      </w:r>
      <w:r>
        <w:t xml:space="preserve"> v</w:t>
      </w:r>
      <w:r w:rsidR="00C77C2F">
        <w:t>er</w:t>
      </w:r>
      <w:r>
        <w:t>s</w:t>
      </w:r>
      <w:r w:rsidR="00C77C2F">
        <w:t>us</w:t>
      </w:r>
      <w:r>
        <w:t xml:space="preserve"> Western</w:t>
      </w:r>
      <w:r w:rsidRPr="00E83899">
        <w:t xml:space="preserve"> </w:t>
      </w:r>
      <w:r>
        <w:t xml:space="preserve">name order, as some </w:t>
      </w:r>
      <w:r w:rsidRPr="00E83899">
        <w:t>Asian</w:t>
      </w:r>
      <w:r>
        <w:t xml:space="preserve"> cultures </w:t>
      </w:r>
      <w:r w:rsidRPr="00E83899">
        <w:t>typically use their family name first</w:t>
      </w:r>
      <w:r>
        <w:t xml:space="preserve">, which can increase </w:t>
      </w:r>
      <w:r w:rsidRPr="00E83899">
        <w:t>inconsistenc</w:t>
      </w:r>
      <w:r>
        <w:t>ies for</w:t>
      </w:r>
      <w:r w:rsidRPr="00E83899">
        <w:t xml:space="preserve"> translated names</w:t>
      </w:r>
      <w:r>
        <w:t xml:space="preserve"> </w:t>
      </w:r>
      <w:r>
        <w:fldChar w:fldCharType="begin" w:fldLock="1"/>
      </w:r>
      <w:r w:rsidR="00814EAA">
        <w:instrText>ADDIN CSL_CITATION {"citationItems":[{"id":"ITEM-1","itemData":{"author":[{"dropping-particle":"","family":"Jacques","given":"M","non-dropping-particle":"","parse-names":false,"suffix":""}],"id":"ITEM-1","issued":{"date-parts":[["2009"]]},"publisher":"Penguin","publisher-place":"New York, NY","title":"When China rules the world: The end of the western world and the birth of a new global order","type":"book"},"uris":["http://www.mendeley.com/documents/?uuid=ea2ffe45-0103-3f62-86f5-53709b7ccd23"]}],"mendeley":{"formattedCitation":"(Jacques, 2009)","plainTextFormattedCitation":"(Jacques, 2009)","previouslyFormattedCitation":"(Jacques, 2009)"},"properties":{"noteIndex":0},"schema":"https://github.com/citation-style-language/schema/raw/master/csl-citation.json"}</w:instrText>
      </w:r>
      <w:r>
        <w:fldChar w:fldCharType="separate"/>
      </w:r>
      <w:r w:rsidR="00814EAA" w:rsidRPr="00814EAA">
        <w:rPr>
          <w:noProof/>
        </w:rPr>
        <w:t>(Jacques, 2009)</w:t>
      </w:r>
      <w:r>
        <w:fldChar w:fldCharType="end"/>
      </w:r>
      <w:r>
        <w:t xml:space="preserve">. This generally results in </w:t>
      </w:r>
      <w:r w:rsidRPr="005C3EDB">
        <w:t>less confident predictions for names of Asian origin</w:t>
      </w:r>
      <w:r>
        <w:t xml:space="preserve"> </w:t>
      </w:r>
      <w:r>
        <w:fldChar w:fldCharType="begin" w:fldLock="1"/>
      </w:r>
      <w:r w:rsidR="00814EAA">
        <w:instrText>ADDIN CSL_CITATION {"citationItems":[{"id":"ITEM-1","itemData":{"DOI":"10.7717/peerj-cs.156","ISSN":"23765992","abstract":"The increased interest in analyzing and explaining gender inequalities in tech, media, and academia highlights the need for accurate inference methods to predict a person's gender from their name. Several such services exist that provide access to large databases of names, often enriched with information from social media profiles, culture-specific rules, and insights from sociolinguistics. We compare and benchmark five nameto- gender inference services by applying them to the classification of a test data set consisting of 7,076 manually labeled names. The compiled names are analyzed and characterized according to their geographical and cultural origin. We define a series of performance metrics to quantify various types of classification errors, and define a parameter tuning procedure to search for optimal values of the services' free parameters. Finally, we perform benchmarks of all services under study regarding several scenarios where a particular metric is to be optimized.","author":[{"dropping-particle":"","family":"Santamaría","given":"Lucía","non-dropping-particle":"","parse-names":false,"suffix":""},{"dropping-particle":"","family":"Mihaljević","given":"Helena","non-dropping-particle":"","parse-names":false,"suffix":""}],"container-title":"PeerJ Computer Science","id":"ITEM-1","issue":"7","issued":{"date-parts":[["2018"]]},"title":"Comparison and benchmark of name-to- gender inference services","type":"article-journal","volume":"2018"},"uris":["http://www.mendeley.com/documents/?uuid=b0bcd8b7-a4b1-368c-be93-d9f13325f076"]}],"mendeley":{"formattedCitation":"(Santamaría &amp; Mihaljević, 2018)","plainTextFormattedCitation":"(Santamaría &amp; Mihaljević, 2018)","previouslyFormattedCitation":"(Santamaría &amp; Mihaljević, 2018)"},"properties":{"noteIndex":0},"schema":"https://github.com/citation-style-language/schema/raw/master/csl-citation.json"}</w:instrText>
      </w:r>
      <w:r>
        <w:fldChar w:fldCharType="separate"/>
      </w:r>
      <w:r w:rsidR="00814EAA" w:rsidRPr="00814EAA">
        <w:rPr>
          <w:noProof/>
        </w:rPr>
        <w:t>(Santamaría &amp; Mihaljević, 2018)</w:t>
      </w:r>
      <w:r>
        <w:fldChar w:fldCharType="end"/>
      </w:r>
      <w:r>
        <w:t xml:space="preserve">. </w:t>
      </w:r>
    </w:p>
    <w:p w14:paraId="14D9B55B" w14:textId="46C29501" w:rsidR="00755FE0" w:rsidRDefault="00755FE0" w:rsidP="00755FE0">
      <w:r>
        <w:t xml:space="preserve">In the patent application process, names of Asian origin are </w:t>
      </w:r>
      <w:r w:rsidRPr="00EF429E">
        <w:t xml:space="preserve">often translated by patent officers and hence are not reliable as different examiners might write names in different ways. Additionally, if </w:t>
      </w:r>
      <w:r>
        <w:t>transliterated to</w:t>
      </w:r>
      <w:r w:rsidRPr="00EF429E">
        <w:t xml:space="preserve"> Latin script</w:t>
      </w:r>
      <w:r>
        <w:t xml:space="preserve">, </w:t>
      </w:r>
      <w:r w:rsidRPr="00EF429E">
        <w:t>it is no longer possible to deduct gender</w:t>
      </w:r>
      <w:r>
        <w:t xml:space="preserve">. </w:t>
      </w:r>
      <w:r w:rsidRPr="00515DD3">
        <w:t xml:space="preserve">The </w:t>
      </w:r>
      <w:r>
        <w:t>high</w:t>
      </w:r>
      <w:r w:rsidRPr="00515DD3">
        <w:t xml:space="preserve"> </w:t>
      </w:r>
      <w:r>
        <w:t>number</w:t>
      </w:r>
      <w:r w:rsidRPr="00515DD3">
        <w:t xml:space="preserve"> of inventors with Asian names makes this particularly problematic</w:t>
      </w:r>
      <w:r>
        <w:t xml:space="preserve"> </w:t>
      </w:r>
      <w:r>
        <w:fldChar w:fldCharType="begin" w:fldLock="1"/>
      </w:r>
      <w:r w:rsidR="00814EAA">
        <w:instrText>ADDIN CSL_CITATION {"citationItems":[{"id":"ITEM-1","itemData":{"URL":"https://www.uspto.gov/ip-policy/economic-research/publications/reports/progress-potential","accessed":{"date-parts":[["2019","11","28"]]},"author":[{"dropping-particle":"","family":"USPTO","given":"","non-dropping-particle":"","parse-names":false,"suffix":""}],"id":"ITEM-1","issued":{"date-parts":[["2019"]]},"title":"Progress and potential: A profile of women inventors on U.S. patents","type":"webpage"},"uris":["http://www.mendeley.com/documents/?uuid=6f8150ee-cb98-3305-8d14-e9ecbd33033c"]}],"mendeley":{"formattedCitation":"(USPTO, 2019)","plainTextFormattedCitation":"(USPTO, 2019)","previouslyFormattedCitation":"(USPTO, 2019)"},"properties":{"noteIndex":0},"schema":"https://github.com/citation-style-language/schema/raw/master/csl-citation.json"}</w:instrText>
      </w:r>
      <w:r>
        <w:fldChar w:fldCharType="separate"/>
      </w:r>
      <w:r w:rsidR="00814EAA" w:rsidRPr="00814EAA">
        <w:rPr>
          <w:noProof/>
        </w:rPr>
        <w:t>(USPTO, 2019)</w:t>
      </w:r>
      <w:r>
        <w:fldChar w:fldCharType="end"/>
      </w:r>
      <w:r>
        <w:t>.</w:t>
      </w:r>
      <w:r w:rsidRPr="00515DD3">
        <w:t xml:space="preserve"> This issue affects inventors </w:t>
      </w:r>
      <w:r>
        <w:t>living in Asian countries</w:t>
      </w:r>
      <w:r w:rsidRPr="00515DD3">
        <w:t xml:space="preserve"> as well as</w:t>
      </w:r>
      <w:r>
        <w:t xml:space="preserve"> </w:t>
      </w:r>
      <w:r w:rsidRPr="00515DD3">
        <w:t xml:space="preserve">inventors </w:t>
      </w:r>
      <w:r>
        <w:t xml:space="preserve">from Asian origin </w:t>
      </w:r>
      <w:r w:rsidRPr="00515DD3">
        <w:t xml:space="preserve">residing </w:t>
      </w:r>
      <w:r>
        <w:t>elsewhere.</w:t>
      </w:r>
    </w:p>
    <w:p w14:paraId="7F0F2D8F" w14:textId="0C657969" w:rsidR="00755FE0" w:rsidRDefault="00755FE0" w:rsidP="00755FE0">
      <w:r>
        <w:t xml:space="preserve">For these reasons, we carefully assessed the accuracy of the gender designation for Asian countries as well as for any inventors with names that are likely to be of Asian origin. </w:t>
      </w:r>
      <w:r>
        <w:lastRenderedPageBreak/>
        <w:t>The results of these checks are presented in Table A3. First, w</w:t>
      </w:r>
      <w:r w:rsidRPr="00985073">
        <w:t xml:space="preserve">e </w:t>
      </w:r>
      <w:r>
        <w:t>checked</w:t>
      </w:r>
      <w:r w:rsidRPr="00985073">
        <w:t xml:space="preserve"> the prediction accuracy of the algorithm for Asian countries</w:t>
      </w:r>
      <w:r>
        <w:t xml:space="preserve"> (</w:t>
      </w:r>
      <w:r w:rsidRPr="00985073">
        <w:t xml:space="preserve">China, Japan, South Korea, </w:t>
      </w:r>
      <w:r>
        <w:t>and</w:t>
      </w:r>
      <w:r w:rsidRPr="00985073">
        <w:t xml:space="preserve"> Taiwan</w:t>
      </w:r>
      <w:r>
        <w:t xml:space="preserve">) </w:t>
      </w:r>
      <w:r w:rsidRPr="00985073">
        <w:t>by relying on the judgment of experts, i.e.,</w:t>
      </w:r>
      <w:r>
        <w:t xml:space="preserve"> two</w:t>
      </w:r>
      <w:r w:rsidRPr="00985073">
        <w:t xml:space="preserve"> locals from </w:t>
      </w:r>
      <w:r>
        <w:t xml:space="preserve">each of </w:t>
      </w:r>
      <w:r w:rsidRPr="00985073">
        <w:t xml:space="preserve">the respective countries, in a random draw of up to 300 names. We found that for </w:t>
      </w:r>
      <w:r>
        <w:t>these countries,</w:t>
      </w:r>
      <w:r w:rsidRPr="00985073">
        <w:t xml:space="preserve"> no more than 60% of female inventors</w:t>
      </w:r>
      <w:r>
        <w:t xml:space="preserve"> </w:t>
      </w:r>
      <w:r w:rsidRPr="00985073">
        <w:t>were correctly predicted</w:t>
      </w:r>
      <w:r>
        <w:t xml:space="preserve"> by the algorithm, on average. Second, we ran similar checks to assess the problem for </w:t>
      </w:r>
      <w:r w:rsidRPr="00985073">
        <w:t>people of Asian ethnicity living in foreign countries. We use</w:t>
      </w:r>
      <w:r>
        <w:t>d</w:t>
      </w:r>
      <w:r w:rsidRPr="00985073">
        <w:t xml:space="preserve"> US census data</w:t>
      </w:r>
      <w:r w:rsidRPr="00EE1D76">
        <w:rPr>
          <w:rStyle w:val="FootnoteReference"/>
        </w:rPr>
        <w:footnoteReference w:id="12"/>
      </w:r>
      <w:r w:rsidRPr="00985073">
        <w:t xml:space="preserve"> to determine inventors most likely ethnicity based on their last name</w:t>
      </w:r>
      <w:r>
        <w:t xml:space="preserve"> </w:t>
      </w:r>
      <w:r>
        <w:fldChar w:fldCharType="begin" w:fldLock="1"/>
      </w:r>
      <w:r w:rsidR="00814EAA">
        <w:instrText>ADDIN CSL_CITATION {"citationItems":[{"id":"ITEM-1","itemData":{"DOI":"10.1086/651934","ISSN":"0734306X","abstract":"This study evaluates the impact of high-skilled immigrants on U.S. technology formation. We use reduced-form specifications that exploit large changes in the H-1B visa program. Higher H-1B admissions increase immigrant science and engineering (SE) employment and patenting by inventors with Indian and Chinese names in cities and firms dependent upon the program relative to their peers. Most specifications find limited effects for native SE employment or patenting. We are able to rule out displacement effects, and small crowding-in effects may exist. Total SE employment and invention increases with higher admissions primarily through direct contributions of immigrants. © 2010 by The University of Chicago. All rights reserved.","author":[{"dropping-particle":"","family":"Kerr","given":"William R.","non-dropping-particle":"","parse-names":false,"suffix":""},{"dropping-particle":"","family":"Lincoln","given":"William F.","non-dropping-particle":"","parse-names":false,"suffix":""}],"container-title":"Journal of Labor Economics","id":"ITEM-1","issue":"3","issued":{"date-parts":[["2010","7"]]},"page":"473-508","title":"The supply side of innovation: H-1B visa reforms and U.S. ethnic invention","type":"article-journal","volume":"28"},"uris":["http://www.mendeley.com/documents/?uuid=c932c1c5-df95-3e0a-ae26-6ce53070e329"]}],"mendeley":{"formattedCitation":"(Kerr &amp; Lincoln, 2010)","plainTextFormattedCitation":"(Kerr &amp; Lincoln, 2010)","previouslyFormattedCitation":"(Kerr &amp; Lincoln, 2010)"},"properties":{"noteIndex":0},"schema":"https://github.com/citation-style-language/schema/raw/master/csl-citation.json"}</w:instrText>
      </w:r>
      <w:r>
        <w:fldChar w:fldCharType="separate"/>
      </w:r>
      <w:r w:rsidR="00814EAA" w:rsidRPr="00814EAA">
        <w:rPr>
          <w:noProof/>
        </w:rPr>
        <w:t>(Kerr &amp; Lincoln, 2010)</w:t>
      </w:r>
      <w:r>
        <w:fldChar w:fldCharType="end"/>
      </w:r>
      <w:r>
        <w:t xml:space="preserve">. </w:t>
      </w:r>
      <w:r w:rsidRPr="00985073">
        <w:t>Again, we drew a random sample of US inventors whose ethnicity was Asian with a probability of more than 50% and detected a similar pattern as for inventors from Asian countries</w:t>
      </w:r>
      <w:r>
        <w:t>.</w:t>
      </w:r>
      <w:r w:rsidRPr="00985073">
        <w:t xml:space="preserve"> </w:t>
      </w:r>
      <w:r>
        <w:t>N</w:t>
      </w:r>
      <w:r w:rsidRPr="00985073">
        <w:t>o more than 31% of inventors classified by genderize.io as female were also coded female by our local experts.</w:t>
      </w:r>
      <w:r>
        <w:t xml:space="preserve"> </w:t>
      </w:r>
      <w:r w:rsidRPr="00B26398">
        <w:t>As a benchmark</w:t>
      </w:r>
      <w:r>
        <w:t xml:space="preserve">, </w:t>
      </w:r>
      <w:r w:rsidRPr="00B26398">
        <w:t>we</w:t>
      </w:r>
      <w:r>
        <w:t xml:space="preserve"> can</w:t>
      </w:r>
      <w:r w:rsidRPr="00B26398">
        <w:t xml:space="preserve"> compare these ratios of accuracy as well as the correlation coefficient to non-Asian US investors for whom the algorithm designated almost 86% of the female inventors correctly.</w:t>
      </w:r>
    </w:p>
    <w:p w14:paraId="0453CE6C" w14:textId="77777777" w:rsidR="00755FE0" w:rsidRDefault="00755FE0" w:rsidP="00755FE0">
      <w:r>
        <w:t>To circumvent the high likelihood of misidentification for inventors from Asian countries, with names of Asian origin, and with rare names, we restrict the sample used in our analysis to inventors for whom we can reliably assess gender. To construct the</w:t>
      </w:r>
      <w:r w:rsidRPr="00B26398">
        <w:t xml:space="preserve"> sample</w:t>
      </w:r>
      <w:r>
        <w:t xml:space="preserve">, </w:t>
      </w:r>
      <w:r w:rsidRPr="00B26398">
        <w:t xml:space="preserve">we </w:t>
      </w:r>
      <w:r>
        <w:t xml:space="preserve">therefore </w:t>
      </w:r>
      <w:r w:rsidRPr="00B26398">
        <w:t>first select exclusively inventors who do not come from China, Japan, South Korea, or Taiwan and for whom US census data does not indicate that they are of Asian ethnicity</w:t>
      </w:r>
      <w:r>
        <w:t xml:space="preserve">. Doing so </w:t>
      </w:r>
      <w:r w:rsidRPr="00B26398">
        <w:t>we can identify</w:t>
      </w:r>
      <w:r>
        <w:t xml:space="preserve"> </w:t>
      </w:r>
      <w:r w:rsidRPr="00B26398">
        <w:t>8</w:t>
      </w:r>
      <w:r>
        <w:t>,</w:t>
      </w:r>
      <w:r w:rsidRPr="00B26398">
        <w:t>344</w:t>
      </w:r>
      <w:r>
        <w:t xml:space="preserve"> female and male star</w:t>
      </w:r>
      <w:r w:rsidRPr="00B26398">
        <w:t xml:space="preserve"> inventors</w:t>
      </w:r>
      <w:r>
        <w:t xml:space="preserve">. In a next step, we </w:t>
      </w:r>
      <w:r w:rsidRPr="00B26398">
        <w:t xml:space="preserve">rely on </w:t>
      </w:r>
      <w:r>
        <w:t xml:space="preserve">the </w:t>
      </w:r>
      <w:r w:rsidRPr="00B26398">
        <w:t xml:space="preserve">frequency indicators </w:t>
      </w:r>
      <w:r>
        <w:t>(</w:t>
      </w:r>
      <w:r w:rsidRPr="00B26398">
        <w:t>how many times the name is recorded in the database</w:t>
      </w:r>
      <w:r>
        <w:t xml:space="preserve">) </w:t>
      </w:r>
      <w:r w:rsidRPr="00B26398">
        <w:t xml:space="preserve">and accuracy </w:t>
      </w:r>
      <w:r>
        <w:t>scores</w:t>
      </w:r>
      <w:r w:rsidRPr="00B26398">
        <w:t xml:space="preserve"> </w:t>
      </w:r>
      <w:r>
        <w:t>(</w:t>
      </w:r>
      <w:r w:rsidRPr="00B26398">
        <w:t>percentage of data records that are associated with the predicted gender</w:t>
      </w:r>
      <w:r>
        <w:t xml:space="preserve">) </w:t>
      </w:r>
      <w:r w:rsidRPr="00B26398">
        <w:t>of the genderize.io database</w:t>
      </w:r>
      <w:r>
        <w:t xml:space="preserve">. </w:t>
      </w:r>
      <w:r w:rsidRPr="000E1E04">
        <w:t xml:space="preserve">We retain inventors </w:t>
      </w:r>
      <w:r>
        <w:t xml:space="preserve">if their first name </w:t>
      </w:r>
      <w:r w:rsidRPr="000E1E04">
        <w:t xml:space="preserve">is recorded at least 10 times and </w:t>
      </w:r>
      <w:r>
        <w:lastRenderedPageBreak/>
        <w:t>if the</w:t>
      </w:r>
      <w:r w:rsidRPr="000E1E04">
        <w:t xml:space="preserve"> </w:t>
      </w:r>
      <w:r>
        <w:t xml:space="preserve">gender </w:t>
      </w:r>
      <w:r w:rsidRPr="000E1E04">
        <w:t>prediction is based on an accuracy of 99% or more.</w:t>
      </w:r>
      <w:r w:rsidRPr="00EE1D76">
        <w:rPr>
          <w:rStyle w:val="FootnoteReference"/>
        </w:rPr>
        <w:footnoteReference w:id="13"/>
      </w:r>
      <w:r w:rsidRPr="000E1E04">
        <w:t xml:space="preserve"> This reduces the sample by roughly 15% so that we are left with 7,151-star inventors </w:t>
      </w:r>
      <w:r>
        <w:t>who qualify for our analyses.</w:t>
      </w:r>
    </w:p>
    <w:p w14:paraId="1E22C84C" w14:textId="77777777" w:rsidR="00755FE0" w:rsidRDefault="00755FE0" w:rsidP="00755FE0">
      <w:r>
        <w:t xml:space="preserve">Our restrictive approach leaves us </w:t>
      </w:r>
      <w:r w:rsidRPr="000E1E04">
        <w:t xml:space="preserve">confident </w:t>
      </w:r>
      <w:r>
        <w:t xml:space="preserve">that we only retain (female) stars in the analysis for whom we can correctly and reliably assess gender. </w:t>
      </w:r>
      <w:r w:rsidRPr="000E1E04">
        <w:t>However, we are aware that this</w:t>
      </w:r>
      <w:r>
        <w:t xml:space="preserve"> approach</w:t>
      </w:r>
      <w:r w:rsidRPr="000E1E04">
        <w:t xml:space="preserve"> limits the generalizability of our findings to non-Asian inventors. There might be cultural difference</w:t>
      </w:r>
      <w:r>
        <w:t>s</w:t>
      </w:r>
      <w:r w:rsidRPr="000E1E04">
        <w:t xml:space="preserve"> between Asian and non-Asian countries</w:t>
      </w:r>
      <w:r>
        <w:t xml:space="preserve">, </w:t>
      </w:r>
      <w:r w:rsidRPr="000E1E04">
        <w:t xml:space="preserve">also </w:t>
      </w:r>
      <w:r>
        <w:t>in relation</w:t>
      </w:r>
      <w:r w:rsidRPr="000E1E04">
        <w:t xml:space="preserve"> to the role of women, which require us to interpret the findings exclusively for non-Asian inventor teams. We </w:t>
      </w:r>
      <w:r>
        <w:t>invite</w:t>
      </w:r>
      <w:r w:rsidRPr="000E1E04">
        <w:t xml:space="preserve"> further research to verify if these effects also translate into Asian cultures and countries</w:t>
      </w:r>
      <w:r>
        <w:t>.</w:t>
      </w:r>
    </w:p>
    <w:p w14:paraId="376AD4E4" w14:textId="500F8D64" w:rsidR="00755FE0" w:rsidRPr="00A0768A" w:rsidRDefault="00755FE0" w:rsidP="00755FE0">
      <w:pPr>
        <w:ind w:firstLine="0"/>
        <w:rPr>
          <w:b/>
        </w:rPr>
      </w:pPr>
      <w:r w:rsidRPr="00A0768A">
        <w:rPr>
          <w:b/>
        </w:rPr>
        <w:t>Table A</w:t>
      </w:r>
      <w:r>
        <w:rPr>
          <w:b/>
        </w:rPr>
        <w:t>1</w:t>
      </w:r>
      <w:r w:rsidRPr="00A0768A">
        <w:rPr>
          <w:b/>
        </w:rPr>
        <w:t>: Accuracy of gender designation</w:t>
      </w:r>
    </w:p>
    <w:p w14:paraId="1875FB08" w14:textId="77777777" w:rsidR="00755FE0" w:rsidRPr="00E91864" w:rsidRDefault="00755FE0" w:rsidP="00755FE0">
      <w:pPr>
        <w:ind w:firstLine="0"/>
      </w:pPr>
      <w:r w:rsidRPr="003C5EDD">
        <w:rPr>
          <w:noProof/>
        </w:rPr>
        <w:drawing>
          <wp:inline distT="0" distB="0" distL="0" distR="0" wp14:anchorId="52B51DA6" wp14:editId="093F3A88">
            <wp:extent cx="6157553" cy="2590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64454" cy="2593703"/>
                    </a:xfrm>
                    <a:prstGeom prst="rect">
                      <a:avLst/>
                    </a:prstGeom>
                    <a:noFill/>
                    <a:ln>
                      <a:noFill/>
                    </a:ln>
                  </pic:spPr>
                </pic:pic>
              </a:graphicData>
            </a:graphic>
          </wp:inline>
        </w:drawing>
      </w:r>
    </w:p>
    <w:p w14:paraId="012C3156" w14:textId="77777777" w:rsidR="00755FE0" w:rsidRPr="00E91864" w:rsidRDefault="00755FE0" w:rsidP="00755FE0"/>
    <w:p w14:paraId="176D520A" w14:textId="77777777" w:rsidR="00755FE0" w:rsidRPr="00413592" w:rsidRDefault="00755FE0" w:rsidP="00755FE0">
      <w:pPr>
        <w:ind w:firstLine="0"/>
      </w:pPr>
    </w:p>
    <w:p w14:paraId="12B178BD" w14:textId="5E78F2F3" w:rsidR="00567FDE" w:rsidRPr="00D17D90" w:rsidRDefault="00567FDE" w:rsidP="009E1739">
      <w:pPr>
        <w:spacing w:line="360" w:lineRule="auto"/>
        <w:ind w:firstLine="0"/>
        <w:rPr>
          <w:b/>
        </w:rPr>
      </w:pPr>
      <w:r w:rsidRPr="00D17D90">
        <w:rPr>
          <w:b/>
        </w:rPr>
        <w:lastRenderedPageBreak/>
        <w:t xml:space="preserve">Appendix </w:t>
      </w:r>
      <w:r w:rsidR="00755FE0">
        <w:rPr>
          <w:b/>
        </w:rPr>
        <w:t>2</w:t>
      </w:r>
      <w:r w:rsidRPr="00D17D90">
        <w:rPr>
          <w:b/>
        </w:rPr>
        <w:t>: Representation of female star patents across time and fields</w:t>
      </w:r>
    </w:p>
    <w:p w14:paraId="3D71AC5F" w14:textId="483F34C2" w:rsidR="00567FDE" w:rsidRPr="00D17D90" w:rsidRDefault="00567FDE" w:rsidP="009E1739">
      <w:pPr>
        <w:spacing w:line="360" w:lineRule="auto"/>
        <w:ind w:firstLine="0"/>
        <w:rPr>
          <w:b/>
        </w:rPr>
      </w:pPr>
      <w:r w:rsidRPr="00D17D90">
        <w:rPr>
          <w:b/>
        </w:rPr>
        <w:t>Figure A</w:t>
      </w:r>
      <w:r w:rsidR="00755FE0">
        <w:rPr>
          <w:b/>
        </w:rPr>
        <w:t>2</w:t>
      </w:r>
      <w:r w:rsidRPr="00D17D90">
        <w:rPr>
          <w:b/>
        </w:rPr>
        <w:t>.1: share of female star patents over time</w:t>
      </w:r>
    </w:p>
    <w:p w14:paraId="4CEE9DD0" w14:textId="77777777" w:rsidR="00567FDE" w:rsidRDefault="00567FDE" w:rsidP="00567FDE">
      <w:pPr>
        <w:ind w:firstLine="0"/>
      </w:pPr>
      <w:r>
        <w:rPr>
          <w:noProof/>
        </w:rPr>
        <w:drawing>
          <wp:inline distT="0" distB="0" distL="0" distR="0" wp14:anchorId="41CF15AE" wp14:editId="407F9624">
            <wp:extent cx="4565650" cy="3320288"/>
            <wp:effectExtent l="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A1_share_of_female_star_patents_time.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580994" cy="3331447"/>
                    </a:xfrm>
                    <a:prstGeom prst="rect">
                      <a:avLst/>
                    </a:prstGeom>
                  </pic:spPr>
                </pic:pic>
              </a:graphicData>
            </a:graphic>
          </wp:inline>
        </w:drawing>
      </w:r>
    </w:p>
    <w:p w14:paraId="79292494" w14:textId="556832A0" w:rsidR="00567FDE" w:rsidRDefault="00567FDE" w:rsidP="00567FDE">
      <w:pPr>
        <w:spacing w:line="276" w:lineRule="auto"/>
        <w:ind w:firstLine="0"/>
      </w:pPr>
      <w:r>
        <w:t>Figure A</w:t>
      </w:r>
      <w:r w:rsidR="00755FE0">
        <w:t>2</w:t>
      </w:r>
      <w:r>
        <w:t>.1 depicts the share of unique female stars from all unique stars, for whom we were able to designate the gender in a particular year. For example, in 2010 3.16% of all unique gender-designated stars were female.</w:t>
      </w:r>
      <w:r>
        <w:br w:type="page"/>
      </w:r>
    </w:p>
    <w:p w14:paraId="3A6D30CF" w14:textId="6E85E09A" w:rsidR="00567FDE" w:rsidRPr="00D17D90" w:rsidRDefault="00567FDE" w:rsidP="009E1739">
      <w:pPr>
        <w:spacing w:line="360" w:lineRule="auto"/>
        <w:ind w:firstLine="0"/>
        <w:rPr>
          <w:b/>
        </w:rPr>
      </w:pPr>
      <w:r w:rsidRPr="00D17D90">
        <w:rPr>
          <w:b/>
        </w:rPr>
        <w:lastRenderedPageBreak/>
        <w:t>Table A</w:t>
      </w:r>
      <w:r w:rsidR="00755FE0">
        <w:rPr>
          <w:b/>
        </w:rPr>
        <w:t>2</w:t>
      </w:r>
      <w:r w:rsidRPr="00D17D90">
        <w:rPr>
          <w:b/>
        </w:rPr>
        <w:t>.2: share of female (star) inventors across fields</w:t>
      </w:r>
    </w:p>
    <w:p w14:paraId="09F65689" w14:textId="77777777" w:rsidR="00567FDE" w:rsidRDefault="00567FDE" w:rsidP="00567FDE">
      <w:pPr>
        <w:ind w:firstLine="0"/>
      </w:pPr>
      <w:r w:rsidRPr="00EF73B1">
        <w:rPr>
          <w:noProof/>
        </w:rPr>
        <w:drawing>
          <wp:inline distT="0" distB="0" distL="0" distR="0" wp14:anchorId="79AFCC6D" wp14:editId="68425A45">
            <wp:extent cx="5731510" cy="5385132"/>
            <wp:effectExtent l="0" t="0" r="2540" b="635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31510" cy="5385132"/>
                    </a:xfrm>
                    <a:prstGeom prst="rect">
                      <a:avLst/>
                    </a:prstGeom>
                    <a:noFill/>
                    <a:ln>
                      <a:noFill/>
                    </a:ln>
                  </pic:spPr>
                </pic:pic>
              </a:graphicData>
            </a:graphic>
          </wp:inline>
        </w:drawing>
      </w:r>
    </w:p>
    <w:p w14:paraId="4A62775F" w14:textId="77777777" w:rsidR="00567FDE" w:rsidRDefault="00567FDE" w:rsidP="00567FDE">
      <w:pPr>
        <w:ind w:firstLine="0"/>
      </w:pPr>
    </w:p>
    <w:p w14:paraId="3E8A5ACB" w14:textId="3C305D2D" w:rsidR="00567FDE" w:rsidRDefault="00567FDE" w:rsidP="00567FDE">
      <w:pPr>
        <w:spacing w:line="276" w:lineRule="auto"/>
        <w:ind w:firstLine="0"/>
      </w:pPr>
      <w:bookmarkStart w:id="8" w:name="_Hlk58607837"/>
      <w:r>
        <w:t>Table A</w:t>
      </w:r>
      <w:r w:rsidR="00755FE0">
        <w:t>2</w:t>
      </w:r>
      <w:r>
        <w:t xml:space="preserve">.2 summarizes the share of unique female (star) inventors of all unique gender-designated (star) inventors across fields between 1990 and 2010. For example, 9.64% of all gender-designated star inventors who have filed most of their patents in </w:t>
      </w:r>
      <w:r w:rsidR="009B0D7B">
        <w:t>b</w:t>
      </w:r>
      <w:r>
        <w:t xml:space="preserve">iotechnology are female. Similarly, 17.16% of all unique gender-designated inventors in </w:t>
      </w:r>
      <w:r w:rsidR="009B0D7B">
        <w:t>b</w:t>
      </w:r>
      <w:r>
        <w:t xml:space="preserve">iotechnology are female. </w:t>
      </w:r>
      <w:bookmarkEnd w:id="8"/>
      <w:r>
        <w:br w:type="page"/>
      </w:r>
    </w:p>
    <w:p w14:paraId="5CC9EB12" w14:textId="357D99A3" w:rsidR="00567FDE" w:rsidRPr="00D17D90" w:rsidRDefault="00567FDE" w:rsidP="009E1739">
      <w:pPr>
        <w:spacing w:line="360" w:lineRule="auto"/>
        <w:ind w:firstLine="0"/>
        <w:rPr>
          <w:b/>
        </w:rPr>
      </w:pPr>
      <w:r w:rsidRPr="00D17D90">
        <w:rPr>
          <w:b/>
        </w:rPr>
        <w:lastRenderedPageBreak/>
        <w:t xml:space="preserve">Appendix </w:t>
      </w:r>
      <w:r w:rsidR="00755FE0">
        <w:rPr>
          <w:b/>
        </w:rPr>
        <w:t>3</w:t>
      </w:r>
      <w:r w:rsidRPr="00D17D90">
        <w:rPr>
          <w:b/>
        </w:rPr>
        <w:t>: Distribution of inventor team and patent characteristics for female v</w:t>
      </w:r>
      <w:r w:rsidR="00C77C2F">
        <w:rPr>
          <w:b/>
        </w:rPr>
        <w:t>ersus</w:t>
      </w:r>
      <w:r w:rsidRPr="00D17D90">
        <w:rPr>
          <w:b/>
        </w:rPr>
        <w:t xml:space="preserve"> male star </w:t>
      </w:r>
      <w:r w:rsidR="005F2F31">
        <w:rPr>
          <w:b/>
        </w:rPr>
        <w:t>team</w:t>
      </w:r>
      <w:r w:rsidRPr="00D17D90">
        <w:rPr>
          <w:b/>
        </w:rPr>
        <w:t xml:space="preserve"> before and after matching </w:t>
      </w:r>
    </w:p>
    <w:p w14:paraId="04BC4F3C" w14:textId="7D07B852" w:rsidR="005F2F31" w:rsidRDefault="005F2F31" w:rsidP="005F2F31">
      <w:pPr>
        <w:spacing w:line="276" w:lineRule="auto"/>
        <w:ind w:firstLine="0"/>
      </w:pPr>
      <w:bookmarkStart w:id="9" w:name="_Hlk58607848"/>
      <w:r>
        <w:t>The graphs show the kernel density distribution of inventor team characteristics for teams with female and male stars. Graphs on the left-hand side show the distribution on the full sample (n = 54,459) while graphs on the right-hand side show the post-matching distribution</w:t>
      </w:r>
      <w:r w:rsidR="002A6528">
        <w:t xml:space="preserve"> (n=26,793)</w:t>
      </w:r>
      <w:r>
        <w:t>, accounting for the matching weight obtained from CEM.</w:t>
      </w:r>
    </w:p>
    <w:bookmarkEnd w:id="9"/>
    <w:p w14:paraId="11B531A4" w14:textId="77777777" w:rsidR="005F2F31" w:rsidRPr="005F2F31" w:rsidRDefault="005F2F31" w:rsidP="005F2F31">
      <w:pPr>
        <w:spacing w:before="0" w:line="276" w:lineRule="auto"/>
        <w:ind w:firstLine="0"/>
      </w:pPr>
    </w:p>
    <w:p w14:paraId="6F3E256F" w14:textId="43535E0E" w:rsidR="005F2F31" w:rsidRPr="005F2F31" w:rsidRDefault="005F2F31" w:rsidP="005F2F31">
      <w:pPr>
        <w:spacing w:before="0"/>
        <w:ind w:firstLine="0"/>
      </w:pPr>
      <w:r w:rsidRPr="005F2F31">
        <w:rPr>
          <w:noProof/>
        </w:rPr>
        <w:drawing>
          <wp:anchor distT="0" distB="0" distL="114300" distR="114300" simplePos="0" relativeHeight="251681792" behindDoc="0" locked="0" layoutInCell="1" allowOverlap="1" wp14:anchorId="0EB5389C" wp14:editId="594973A4">
            <wp:simplePos x="0" y="0"/>
            <wp:positionH relativeFrom="column">
              <wp:posOffset>3071495</wp:posOffset>
            </wp:positionH>
            <wp:positionV relativeFrom="paragraph">
              <wp:posOffset>2505075</wp:posOffset>
            </wp:positionV>
            <wp:extent cx="2966085" cy="2157095"/>
            <wp:effectExtent l="0" t="0" r="5715" b="0"/>
            <wp:wrapSquare wrapText="bothSides"/>
            <wp:docPr id="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2b_share_females_after_matching.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r w:rsidRPr="005F2F31">
        <w:rPr>
          <w:noProof/>
        </w:rPr>
        <w:drawing>
          <wp:anchor distT="0" distB="0" distL="114300" distR="114300" simplePos="0" relativeHeight="251680768" behindDoc="0" locked="0" layoutInCell="1" allowOverlap="1" wp14:anchorId="71E6328B" wp14:editId="272DE1C7">
            <wp:simplePos x="0" y="0"/>
            <wp:positionH relativeFrom="margin">
              <wp:posOffset>0</wp:posOffset>
            </wp:positionH>
            <wp:positionV relativeFrom="paragraph">
              <wp:posOffset>2505075</wp:posOffset>
            </wp:positionV>
            <wp:extent cx="2966085" cy="2157095"/>
            <wp:effectExtent l="0" t="0" r="5715" b="0"/>
            <wp:wrapSquare wrapText="bothSides"/>
            <wp:docPr id="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F2a_share_females_before_matching.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r w:rsidRPr="005F2F31">
        <w:rPr>
          <w:noProof/>
        </w:rPr>
        <w:drawing>
          <wp:anchor distT="0" distB="0" distL="114300" distR="114300" simplePos="0" relativeHeight="251679744" behindDoc="0" locked="0" layoutInCell="1" allowOverlap="1" wp14:anchorId="263B5CB2" wp14:editId="4E5FE47E">
            <wp:simplePos x="0" y="0"/>
            <wp:positionH relativeFrom="column">
              <wp:posOffset>3057525</wp:posOffset>
            </wp:positionH>
            <wp:positionV relativeFrom="paragraph">
              <wp:posOffset>186055</wp:posOffset>
            </wp:positionV>
            <wp:extent cx="2966085" cy="2157095"/>
            <wp:effectExtent l="0" t="0" r="5715" b="0"/>
            <wp:wrapSquare wrapText="bothSides"/>
            <wp:docPr id="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F1b_inventors_after_matching.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r w:rsidRPr="005F2F31">
        <w:rPr>
          <w:noProof/>
        </w:rPr>
        <w:drawing>
          <wp:anchor distT="0" distB="0" distL="114300" distR="114300" simplePos="0" relativeHeight="251678720" behindDoc="0" locked="0" layoutInCell="1" allowOverlap="1" wp14:anchorId="4FCD88B8" wp14:editId="1B02D79C">
            <wp:simplePos x="0" y="0"/>
            <wp:positionH relativeFrom="margin">
              <wp:posOffset>0</wp:posOffset>
            </wp:positionH>
            <wp:positionV relativeFrom="paragraph">
              <wp:posOffset>180975</wp:posOffset>
            </wp:positionV>
            <wp:extent cx="2966085" cy="2157095"/>
            <wp:effectExtent l="0" t="0" r="5715" b="0"/>
            <wp:wrapSquare wrapText="bothSides"/>
            <wp:docPr id="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1a_inventors_before_matching.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r w:rsidR="002A6528">
        <w:t xml:space="preserve"> </w:t>
      </w:r>
    </w:p>
    <w:p w14:paraId="3E2F10C1" w14:textId="77777777" w:rsidR="005F2F31" w:rsidRPr="005F2F31" w:rsidRDefault="005F2F31" w:rsidP="005F2F31">
      <w:pPr>
        <w:spacing w:before="0"/>
        <w:ind w:firstLine="0"/>
      </w:pPr>
      <w:r w:rsidRPr="005F2F31">
        <w:rPr>
          <w:noProof/>
        </w:rPr>
        <w:drawing>
          <wp:anchor distT="0" distB="0" distL="114300" distR="114300" simplePos="0" relativeHeight="251683840" behindDoc="0" locked="0" layoutInCell="1" allowOverlap="1" wp14:anchorId="57162A34" wp14:editId="085DDF04">
            <wp:simplePos x="0" y="0"/>
            <wp:positionH relativeFrom="column">
              <wp:posOffset>3071495</wp:posOffset>
            </wp:positionH>
            <wp:positionV relativeFrom="paragraph">
              <wp:posOffset>4549140</wp:posOffset>
            </wp:positionV>
            <wp:extent cx="2966085" cy="2157095"/>
            <wp:effectExtent l="0" t="0" r="5715" b="0"/>
            <wp:wrapSquare wrapText="bothSides"/>
            <wp:docPr id="1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3b_team_performance_after_matching.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r w:rsidRPr="005F2F31">
        <w:rPr>
          <w:noProof/>
        </w:rPr>
        <w:drawing>
          <wp:anchor distT="0" distB="0" distL="114300" distR="114300" simplePos="0" relativeHeight="251682816" behindDoc="0" locked="0" layoutInCell="1" allowOverlap="1" wp14:anchorId="144152EE" wp14:editId="291729F6">
            <wp:simplePos x="0" y="0"/>
            <wp:positionH relativeFrom="margin">
              <wp:posOffset>0</wp:posOffset>
            </wp:positionH>
            <wp:positionV relativeFrom="paragraph">
              <wp:posOffset>4551680</wp:posOffset>
            </wp:positionV>
            <wp:extent cx="2966085" cy="2157095"/>
            <wp:effectExtent l="0" t="0" r="5715" b="0"/>
            <wp:wrapSquare wrapText="bothSides"/>
            <wp:docPr id="1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F3a_team_performance_before_matching.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p>
    <w:p w14:paraId="2EC6FEA8" w14:textId="7A7C77BC" w:rsidR="005F2F31" w:rsidRPr="005F2F31" w:rsidRDefault="005F2F31" w:rsidP="005F2F31">
      <w:pPr>
        <w:spacing w:before="0" w:line="360" w:lineRule="auto"/>
        <w:ind w:firstLine="0"/>
        <w:rPr>
          <w:b/>
        </w:rPr>
      </w:pPr>
      <w:r w:rsidRPr="005F2F31">
        <w:rPr>
          <w:b/>
          <w:noProof/>
        </w:rPr>
        <w:lastRenderedPageBreak/>
        <w:drawing>
          <wp:anchor distT="0" distB="0" distL="114300" distR="114300" simplePos="0" relativeHeight="251684864" behindDoc="0" locked="0" layoutInCell="1" allowOverlap="1" wp14:anchorId="78B1905D" wp14:editId="4EFC435C">
            <wp:simplePos x="0" y="0"/>
            <wp:positionH relativeFrom="margin">
              <wp:posOffset>-7620</wp:posOffset>
            </wp:positionH>
            <wp:positionV relativeFrom="paragraph">
              <wp:posOffset>615315</wp:posOffset>
            </wp:positionV>
            <wp:extent cx="2966085" cy="2157095"/>
            <wp:effectExtent l="0" t="0" r="5715" b="0"/>
            <wp:wrapSquare wrapText="bothSides"/>
            <wp:docPr id="1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F4a_industry_tenure_years_before_matching.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r w:rsidRPr="005F2F31">
        <w:rPr>
          <w:b/>
          <w:noProof/>
        </w:rPr>
        <w:drawing>
          <wp:anchor distT="0" distB="0" distL="114300" distR="114300" simplePos="0" relativeHeight="251688960" behindDoc="0" locked="0" layoutInCell="1" allowOverlap="1" wp14:anchorId="3EB0F8C3" wp14:editId="2644309A">
            <wp:simplePos x="0" y="0"/>
            <wp:positionH relativeFrom="margin">
              <wp:posOffset>-8255</wp:posOffset>
            </wp:positionH>
            <wp:positionV relativeFrom="paragraph">
              <wp:posOffset>5334635</wp:posOffset>
            </wp:positionV>
            <wp:extent cx="2969260" cy="2159635"/>
            <wp:effectExtent l="0" t="0" r="2540" b="0"/>
            <wp:wrapSquare wrapText="bothSides"/>
            <wp:docPr id="15"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F6a_share_prior_contact_before_matching.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969260" cy="2159635"/>
                    </a:xfrm>
                    <a:prstGeom prst="rect">
                      <a:avLst/>
                    </a:prstGeom>
                  </pic:spPr>
                </pic:pic>
              </a:graphicData>
            </a:graphic>
            <wp14:sizeRelH relativeFrom="page">
              <wp14:pctWidth>0</wp14:pctWidth>
            </wp14:sizeRelH>
            <wp14:sizeRelV relativeFrom="page">
              <wp14:pctHeight>0</wp14:pctHeight>
            </wp14:sizeRelV>
          </wp:anchor>
        </w:drawing>
      </w:r>
      <w:r w:rsidRPr="005F2F31">
        <w:rPr>
          <w:b/>
          <w:noProof/>
        </w:rPr>
        <w:drawing>
          <wp:anchor distT="0" distB="0" distL="114300" distR="114300" simplePos="0" relativeHeight="251685888" behindDoc="0" locked="0" layoutInCell="1" allowOverlap="1" wp14:anchorId="21093CAB" wp14:editId="7A6932DA">
            <wp:simplePos x="0" y="0"/>
            <wp:positionH relativeFrom="column">
              <wp:posOffset>3148965</wp:posOffset>
            </wp:positionH>
            <wp:positionV relativeFrom="paragraph">
              <wp:posOffset>615950</wp:posOffset>
            </wp:positionV>
            <wp:extent cx="2966085" cy="2157095"/>
            <wp:effectExtent l="0" t="0" r="5715" b="0"/>
            <wp:wrapSquare wrapText="bothSides"/>
            <wp:docPr id="1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F4b_industry_tenure_years_after_matching.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r w:rsidRPr="005F2F31">
        <w:rPr>
          <w:b/>
          <w:noProof/>
        </w:rPr>
        <w:drawing>
          <wp:anchor distT="0" distB="0" distL="114300" distR="114300" simplePos="0" relativeHeight="251686912" behindDoc="0" locked="0" layoutInCell="1" allowOverlap="1" wp14:anchorId="30D0C105" wp14:editId="53899EFA">
            <wp:simplePos x="0" y="0"/>
            <wp:positionH relativeFrom="margin">
              <wp:posOffset>-8255</wp:posOffset>
            </wp:positionH>
            <wp:positionV relativeFrom="paragraph">
              <wp:posOffset>2974975</wp:posOffset>
            </wp:positionV>
            <wp:extent cx="2966085" cy="2157095"/>
            <wp:effectExtent l="0" t="0" r="5715" b="0"/>
            <wp:wrapSquare wrapText="bothSides"/>
            <wp:docPr id="2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5a_industry_tenure_patents_before_matching.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r w:rsidRPr="005F2F31">
        <w:rPr>
          <w:b/>
          <w:noProof/>
        </w:rPr>
        <w:drawing>
          <wp:anchor distT="0" distB="0" distL="114300" distR="114300" simplePos="0" relativeHeight="251687936" behindDoc="0" locked="0" layoutInCell="1" allowOverlap="1" wp14:anchorId="61A4C591" wp14:editId="093C4956">
            <wp:simplePos x="0" y="0"/>
            <wp:positionH relativeFrom="column">
              <wp:posOffset>3158490</wp:posOffset>
            </wp:positionH>
            <wp:positionV relativeFrom="paragraph">
              <wp:posOffset>2966085</wp:posOffset>
            </wp:positionV>
            <wp:extent cx="2966085" cy="2157095"/>
            <wp:effectExtent l="0" t="0" r="5715" b="0"/>
            <wp:wrapSquare wrapText="bothSides"/>
            <wp:docPr id="30"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5b_industry_tenure_patents_after_matching.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r w:rsidRPr="005F2F31">
        <w:rPr>
          <w:b/>
        </w:rPr>
        <w:t xml:space="preserve">Appendix </w:t>
      </w:r>
      <w:r w:rsidR="00755FE0">
        <w:rPr>
          <w:b/>
        </w:rPr>
        <w:t>3</w:t>
      </w:r>
      <w:r w:rsidRPr="005F2F31">
        <w:rPr>
          <w:b/>
        </w:rPr>
        <w:t>: Distribution of inventor team and patent characteristics for female v</w:t>
      </w:r>
      <w:r w:rsidR="00C77C2F">
        <w:rPr>
          <w:b/>
        </w:rPr>
        <w:t>ersu</w:t>
      </w:r>
      <w:r w:rsidRPr="005F2F31">
        <w:rPr>
          <w:b/>
        </w:rPr>
        <w:t>s male star teams before and after matching (continued)</w:t>
      </w:r>
    </w:p>
    <w:p w14:paraId="23245185" w14:textId="77777777" w:rsidR="005F2F31" w:rsidRPr="005F2F31" w:rsidRDefault="005F2F31" w:rsidP="005F2F31">
      <w:pPr>
        <w:spacing w:before="0"/>
        <w:ind w:firstLine="0"/>
      </w:pPr>
    </w:p>
    <w:p w14:paraId="435810AA" w14:textId="77777777" w:rsidR="005F2F31" w:rsidRPr="005F2F31" w:rsidRDefault="005F2F31" w:rsidP="005F2F31">
      <w:pPr>
        <w:spacing w:before="0"/>
        <w:ind w:firstLine="0"/>
      </w:pPr>
      <w:r w:rsidRPr="005F2F31">
        <w:rPr>
          <w:noProof/>
        </w:rPr>
        <w:drawing>
          <wp:anchor distT="0" distB="0" distL="114300" distR="114300" simplePos="0" relativeHeight="251689984" behindDoc="0" locked="0" layoutInCell="1" allowOverlap="1" wp14:anchorId="68D60CCE" wp14:editId="76B62D40">
            <wp:simplePos x="0" y="0"/>
            <wp:positionH relativeFrom="column">
              <wp:posOffset>3168015</wp:posOffset>
            </wp:positionH>
            <wp:positionV relativeFrom="paragraph">
              <wp:posOffset>2256486</wp:posOffset>
            </wp:positionV>
            <wp:extent cx="2969260" cy="2159635"/>
            <wp:effectExtent l="0" t="0" r="2540" b="0"/>
            <wp:wrapSquare wrapText="bothSides"/>
            <wp:docPr id="39"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F6b_share_prior_contact_after_matching.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969260" cy="2159635"/>
                    </a:xfrm>
                    <a:prstGeom prst="rect">
                      <a:avLst/>
                    </a:prstGeom>
                  </pic:spPr>
                </pic:pic>
              </a:graphicData>
            </a:graphic>
            <wp14:sizeRelH relativeFrom="page">
              <wp14:pctWidth>0</wp14:pctWidth>
            </wp14:sizeRelH>
            <wp14:sizeRelV relativeFrom="page">
              <wp14:pctHeight>0</wp14:pctHeight>
            </wp14:sizeRelV>
          </wp:anchor>
        </w:drawing>
      </w:r>
    </w:p>
    <w:p w14:paraId="24843030" w14:textId="77777777" w:rsidR="005F2F31" w:rsidRPr="005F2F31" w:rsidRDefault="005F2F31" w:rsidP="005F2F31">
      <w:pPr>
        <w:spacing w:before="0"/>
        <w:ind w:firstLine="0"/>
      </w:pPr>
    </w:p>
    <w:p w14:paraId="7E396086" w14:textId="77777777" w:rsidR="005F2F31" w:rsidRPr="005F2F31" w:rsidRDefault="005F2F31" w:rsidP="005F2F31">
      <w:pPr>
        <w:spacing w:before="0"/>
        <w:ind w:firstLine="0"/>
      </w:pPr>
    </w:p>
    <w:p w14:paraId="7A38F2A2" w14:textId="77777777" w:rsidR="005F2F31" w:rsidRPr="005F2F31" w:rsidRDefault="005F2F31" w:rsidP="005F2F31">
      <w:pPr>
        <w:spacing w:before="0"/>
        <w:ind w:firstLine="0"/>
      </w:pPr>
    </w:p>
    <w:p w14:paraId="0BB8238C" w14:textId="4393A631" w:rsidR="005F2F31" w:rsidRPr="005F2F31" w:rsidRDefault="005F2F31" w:rsidP="005F2F31">
      <w:pPr>
        <w:spacing w:before="0" w:line="360" w:lineRule="auto"/>
        <w:ind w:firstLine="0"/>
        <w:rPr>
          <w:b/>
        </w:rPr>
      </w:pPr>
      <w:r w:rsidRPr="005F2F31">
        <w:rPr>
          <w:b/>
          <w:noProof/>
        </w:rPr>
        <w:lastRenderedPageBreak/>
        <w:drawing>
          <wp:anchor distT="0" distB="0" distL="114300" distR="114300" simplePos="0" relativeHeight="251692032" behindDoc="0" locked="0" layoutInCell="1" allowOverlap="1" wp14:anchorId="45F2D81A" wp14:editId="10592DFF">
            <wp:simplePos x="0" y="0"/>
            <wp:positionH relativeFrom="column">
              <wp:posOffset>3133725</wp:posOffset>
            </wp:positionH>
            <wp:positionV relativeFrom="paragraph">
              <wp:posOffset>558165</wp:posOffset>
            </wp:positionV>
            <wp:extent cx="2966085" cy="2157095"/>
            <wp:effectExtent l="0" t="0" r="5715" b="0"/>
            <wp:wrapSquare wrapText="bothSides"/>
            <wp:docPr id="4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F7b_distinct_fields_after_matching.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r w:rsidRPr="005F2F31">
        <w:rPr>
          <w:b/>
          <w:noProof/>
        </w:rPr>
        <w:drawing>
          <wp:anchor distT="0" distB="0" distL="114300" distR="114300" simplePos="0" relativeHeight="251691008" behindDoc="0" locked="0" layoutInCell="1" allowOverlap="1" wp14:anchorId="48464D3A" wp14:editId="4C0D8FBF">
            <wp:simplePos x="0" y="0"/>
            <wp:positionH relativeFrom="margin">
              <wp:posOffset>0</wp:posOffset>
            </wp:positionH>
            <wp:positionV relativeFrom="paragraph">
              <wp:posOffset>546735</wp:posOffset>
            </wp:positionV>
            <wp:extent cx="2966085" cy="2157095"/>
            <wp:effectExtent l="0" t="0" r="5715" b="0"/>
            <wp:wrapSquare wrapText="bothSides"/>
            <wp:docPr id="4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7a_distinct_fields_before_matching.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r w:rsidRPr="005F2F31">
        <w:rPr>
          <w:b/>
        </w:rPr>
        <w:t xml:space="preserve">Appendix </w:t>
      </w:r>
      <w:r w:rsidR="00755FE0">
        <w:rPr>
          <w:b/>
        </w:rPr>
        <w:t>3</w:t>
      </w:r>
      <w:r w:rsidRPr="005F2F31">
        <w:rPr>
          <w:b/>
        </w:rPr>
        <w:t>: Distribution of inventor team and patent characteristics for female v</w:t>
      </w:r>
      <w:r w:rsidR="00C77C2F">
        <w:rPr>
          <w:b/>
        </w:rPr>
        <w:t>ersu</w:t>
      </w:r>
      <w:r w:rsidRPr="005F2F31">
        <w:rPr>
          <w:b/>
        </w:rPr>
        <w:t xml:space="preserve">s male star </w:t>
      </w:r>
      <w:r>
        <w:rPr>
          <w:b/>
        </w:rPr>
        <w:t>team</w:t>
      </w:r>
      <w:r w:rsidRPr="005F2F31">
        <w:rPr>
          <w:b/>
        </w:rPr>
        <w:t xml:space="preserve"> before and after matching (continued)</w:t>
      </w:r>
    </w:p>
    <w:p w14:paraId="323877C5" w14:textId="77777777" w:rsidR="005F2F31" w:rsidRPr="005F2F31" w:rsidRDefault="005F2F31" w:rsidP="005F2F31">
      <w:pPr>
        <w:spacing w:before="0"/>
        <w:ind w:firstLine="0"/>
      </w:pPr>
      <w:r w:rsidRPr="005F2F31">
        <w:rPr>
          <w:noProof/>
        </w:rPr>
        <w:drawing>
          <wp:anchor distT="0" distB="0" distL="114300" distR="114300" simplePos="0" relativeHeight="251694080" behindDoc="0" locked="0" layoutInCell="1" allowOverlap="1" wp14:anchorId="3F507EE2" wp14:editId="0E207E8B">
            <wp:simplePos x="0" y="0"/>
            <wp:positionH relativeFrom="column">
              <wp:posOffset>3138170</wp:posOffset>
            </wp:positionH>
            <wp:positionV relativeFrom="paragraph">
              <wp:posOffset>2447925</wp:posOffset>
            </wp:positionV>
            <wp:extent cx="2966085" cy="2157095"/>
            <wp:effectExtent l="0" t="0" r="5715" b="0"/>
            <wp:wrapSquare wrapText="bothSides"/>
            <wp:docPr id="4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F8b_distinct_countries_after_matching.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r w:rsidRPr="005F2F31">
        <w:rPr>
          <w:noProof/>
        </w:rPr>
        <w:drawing>
          <wp:anchor distT="0" distB="0" distL="114300" distR="114300" simplePos="0" relativeHeight="251693056" behindDoc="0" locked="0" layoutInCell="1" allowOverlap="1" wp14:anchorId="0FA35731" wp14:editId="0854AB3A">
            <wp:simplePos x="0" y="0"/>
            <wp:positionH relativeFrom="column">
              <wp:posOffset>0</wp:posOffset>
            </wp:positionH>
            <wp:positionV relativeFrom="paragraph">
              <wp:posOffset>2440940</wp:posOffset>
            </wp:positionV>
            <wp:extent cx="2966085" cy="2157095"/>
            <wp:effectExtent l="0" t="0" r="5715" b="0"/>
            <wp:wrapSquare wrapText="bothSides"/>
            <wp:docPr id="4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F8a_distinct_countries_before_matching.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p>
    <w:p w14:paraId="3B57861A" w14:textId="77777777" w:rsidR="005F2F31" w:rsidRPr="005F2F31" w:rsidRDefault="005F2F31" w:rsidP="005F2F31">
      <w:pPr>
        <w:spacing w:before="0"/>
        <w:ind w:firstLine="0"/>
      </w:pPr>
      <w:r w:rsidRPr="005F2F31">
        <w:rPr>
          <w:noProof/>
        </w:rPr>
        <w:drawing>
          <wp:anchor distT="0" distB="0" distL="114300" distR="114300" simplePos="0" relativeHeight="251696128" behindDoc="0" locked="0" layoutInCell="1" allowOverlap="1" wp14:anchorId="33397AEE" wp14:editId="3F2DD267">
            <wp:simplePos x="0" y="0"/>
            <wp:positionH relativeFrom="column">
              <wp:posOffset>3133725</wp:posOffset>
            </wp:positionH>
            <wp:positionV relativeFrom="paragraph">
              <wp:posOffset>2242820</wp:posOffset>
            </wp:positionV>
            <wp:extent cx="2966085" cy="2157095"/>
            <wp:effectExtent l="0" t="0" r="5715" b="0"/>
            <wp:wrapSquare wrapText="bothSides"/>
            <wp:docPr id="44"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F9b_filing_year_after_matching.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966085" cy="2157095"/>
                    </a:xfrm>
                    <a:prstGeom prst="rect">
                      <a:avLst/>
                    </a:prstGeom>
                  </pic:spPr>
                </pic:pic>
              </a:graphicData>
            </a:graphic>
            <wp14:sizeRelH relativeFrom="page">
              <wp14:pctWidth>0</wp14:pctWidth>
            </wp14:sizeRelH>
            <wp14:sizeRelV relativeFrom="page">
              <wp14:pctHeight>0</wp14:pctHeight>
            </wp14:sizeRelV>
          </wp:anchor>
        </w:drawing>
      </w:r>
      <w:r w:rsidRPr="005F2F31">
        <w:rPr>
          <w:noProof/>
        </w:rPr>
        <w:drawing>
          <wp:anchor distT="0" distB="0" distL="114300" distR="114300" simplePos="0" relativeHeight="251695104" behindDoc="0" locked="0" layoutInCell="1" allowOverlap="1" wp14:anchorId="5BEDA05E" wp14:editId="462E2604">
            <wp:simplePos x="0" y="0"/>
            <wp:positionH relativeFrom="margin">
              <wp:posOffset>0</wp:posOffset>
            </wp:positionH>
            <wp:positionV relativeFrom="paragraph">
              <wp:posOffset>2237740</wp:posOffset>
            </wp:positionV>
            <wp:extent cx="2966085" cy="2157095"/>
            <wp:effectExtent l="0" t="0" r="5715" b="0"/>
            <wp:wrapSquare wrapText="bothSides"/>
            <wp:docPr id="4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F9a_filing_year_before_matching.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966400" cy="2157381"/>
                    </a:xfrm>
                    <a:prstGeom prst="rect">
                      <a:avLst/>
                    </a:prstGeom>
                  </pic:spPr>
                </pic:pic>
              </a:graphicData>
            </a:graphic>
            <wp14:sizeRelH relativeFrom="page">
              <wp14:pctWidth>0</wp14:pctWidth>
            </wp14:sizeRelH>
            <wp14:sizeRelV relativeFrom="page">
              <wp14:pctHeight>0</wp14:pctHeight>
            </wp14:sizeRelV>
          </wp:anchor>
        </w:drawing>
      </w:r>
    </w:p>
    <w:p w14:paraId="27C05C81" w14:textId="77777777" w:rsidR="005F2F31" w:rsidRPr="005F2F31" w:rsidRDefault="005F2F31" w:rsidP="005F2F31">
      <w:pPr>
        <w:spacing w:before="0" w:line="360" w:lineRule="auto"/>
        <w:ind w:firstLine="0"/>
        <w:rPr>
          <w:sz w:val="20"/>
          <w:szCs w:val="20"/>
        </w:rPr>
      </w:pPr>
    </w:p>
    <w:p w14:paraId="19A9782A" w14:textId="77777777" w:rsidR="005F2F31" w:rsidRPr="005F2F31" w:rsidRDefault="005F2F31" w:rsidP="005F2F31">
      <w:pPr>
        <w:spacing w:before="0" w:line="360" w:lineRule="auto"/>
        <w:ind w:firstLine="0"/>
        <w:rPr>
          <w:sz w:val="20"/>
          <w:szCs w:val="20"/>
        </w:rPr>
      </w:pPr>
    </w:p>
    <w:p w14:paraId="4B81DCE5" w14:textId="124EA574" w:rsidR="00567FDE" w:rsidRPr="00E91864" w:rsidRDefault="005F2F31" w:rsidP="005F2F31">
      <w:pPr>
        <w:spacing w:line="276" w:lineRule="auto"/>
        <w:ind w:firstLine="0"/>
      </w:pPr>
      <w:r w:rsidRPr="005F2F31">
        <w:rPr>
          <w:sz w:val="20"/>
          <w:szCs w:val="20"/>
        </w:rPr>
        <w:br w:type="page"/>
      </w:r>
    </w:p>
    <w:p w14:paraId="28A29B3A" w14:textId="77777777" w:rsidR="00B10B9A" w:rsidRPr="00D17D90" w:rsidRDefault="00B10B9A" w:rsidP="00B10B9A">
      <w:pPr>
        <w:spacing w:after="160" w:line="259" w:lineRule="auto"/>
        <w:ind w:firstLine="0"/>
        <w:rPr>
          <w:b/>
        </w:rPr>
      </w:pPr>
      <w:r w:rsidRPr="00D17D90">
        <w:rPr>
          <w:b/>
        </w:rPr>
        <w:lastRenderedPageBreak/>
        <w:t>Appendix 4: Representativeness of the sample</w:t>
      </w:r>
    </w:p>
    <w:p w14:paraId="0129C0F6" w14:textId="2669C325" w:rsidR="00B10B9A" w:rsidRDefault="005E0739" w:rsidP="00B10B9A">
      <w:pPr>
        <w:spacing w:after="160" w:line="259" w:lineRule="auto"/>
        <w:ind w:firstLine="0"/>
      </w:pPr>
      <w:r w:rsidRPr="005E0739">
        <w:rPr>
          <w:noProof/>
        </w:rPr>
        <w:drawing>
          <wp:inline distT="0" distB="0" distL="0" distR="0" wp14:anchorId="07928CEC" wp14:editId="4F2AE22A">
            <wp:extent cx="2798086" cy="6905625"/>
            <wp:effectExtent l="0" t="0" r="254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809684" cy="6934249"/>
                    </a:xfrm>
                    <a:prstGeom prst="rect">
                      <a:avLst/>
                    </a:prstGeom>
                    <a:noFill/>
                    <a:ln>
                      <a:noFill/>
                    </a:ln>
                  </pic:spPr>
                </pic:pic>
              </a:graphicData>
            </a:graphic>
          </wp:inline>
        </w:drawing>
      </w:r>
    </w:p>
    <w:p w14:paraId="42702CFF" w14:textId="77777777" w:rsidR="005E0739" w:rsidRDefault="005E0739" w:rsidP="00B10B9A">
      <w:pPr>
        <w:spacing w:after="160" w:line="259" w:lineRule="auto"/>
        <w:ind w:firstLine="0"/>
      </w:pPr>
    </w:p>
    <w:p w14:paraId="1248E19D" w14:textId="3306DE71" w:rsidR="0093424C" w:rsidRDefault="00B10B9A" w:rsidP="00D17D90">
      <w:pPr>
        <w:spacing w:line="276" w:lineRule="auto"/>
        <w:ind w:firstLine="0"/>
      </w:pPr>
      <w:bookmarkStart w:id="10" w:name="_Hlk58607998"/>
      <w:r>
        <w:t>Model A</w:t>
      </w:r>
      <w:r w:rsidR="005E0739">
        <w:t>4</w:t>
      </w:r>
      <w:r>
        <w:t xml:space="preserve">.1 shows a </w:t>
      </w:r>
      <w:proofErr w:type="spellStart"/>
      <w:r>
        <w:t>probit</w:t>
      </w:r>
      <w:proofErr w:type="spellEnd"/>
      <w:r>
        <w:t xml:space="preserve"> regression estimating the likelihood of an observation appearing in the final sample. The independent variables represent team, star, and patent characteristics. The dependent variable is a dummy variable indicating whether an observation was used in the final analysis. The final sample constitutes observations, which meet the gender designation requirements (see Appendix 3) and are selected in the coarsened exact matching</w:t>
      </w:r>
      <w:bookmarkEnd w:id="10"/>
      <w:r w:rsidR="000535A8">
        <w:t>.</w:t>
      </w:r>
      <w:r w:rsidR="0093424C">
        <w:br w:type="page"/>
      </w:r>
    </w:p>
    <w:p w14:paraId="66484B20" w14:textId="77777777" w:rsidR="00A0768A" w:rsidRDefault="00567FDE" w:rsidP="002D5DF5">
      <w:pPr>
        <w:spacing w:line="360" w:lineRule="auto"/>
        <w:ind w:firstLine="0"/>
        <w:rPr>
          <w:b/>
        </w:rPr>
      </w:pPr>
      <w:r w:rsidRPr="00D17D90">
        <w:rPr>
          <w:b/>
        </w:rPr>
        <w:lastRenderedPageBreak/>
        <w:t xml:space="preserve">Appendix </w:t>
      </w:r>
      <w:r w:rsidR="00B10B9A" w:rsidRPr="00D17D90">
        <w:rPr>
          <w:b/>
        </w:rPr>
        <w:t>5</w:t>
      </w:r>
      <w:r w:rsidRPr="00D17D90">
        <w:rPr>
          <w:b/>
        </w:rPr>
        <w:t>: Robustness checks</w:t>
      </w:r>
    </w:p>
    <w:p w14:paraId="06D8954B" w14:textId="23995A3D" w:rsidR="00567FDE" w:rsidRPr="00A9758F" w:rsidRDefault="005E0739" w:rsidP="002D5DF5">
      <w:pPr>
        <w:spacing w:before="0" w:after="120" w:line="360" w:lineRule="auto"/>
        <w:ind w:firstLine="0"/>
      </w:pPr>
      <w:r w:rsidRPr="005E0739">
        <w:rPr>
          <w:noProof/>
        </w:rPr>
        <w:drawing>
          <wp:inline distT="0" distB="0" distL="0" distR="0" wp14:anchorId="2D398D78" wp14:editId="6E7819B1">
            <wp:extent cx="5731510" cy="7258441"/>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31510" cy="7258441"/>
                    </a:xfrm>
                    <a:prstGeom prst="rect">
                      <a:avLst/>
                    </a:prstGeom>
                    <a:noFill/>
                    <a:ln>
                      <a:noFill/>
                    </a:ln>
                  </pic:spPr>
                </pic:pic>
              </a:graphicData>
            </a:graphic>
          </wp:inline>
        </w:drawing>
      </w:r>
    </w:p>
    <w:p w14:paraId="7F1F9D82" w14:textId="4A35C51C" w:rsidR="0039527A" w:rsidRDefault="00567FDE" w:rsidP="00A0768A">
      <w:pPr>
        <w:spacing w:after="160" w:line="259" w:lineRule="auto"/>
        <w:ind w:firstLine="0"/>
      </w:pPr>
      <w:bookmarkStart w:id="11" w:name="_Hlk58608024"/>
      <w:r>
        <w:t>Model A</w:t>
      </w:r>
      <w:r w:rsidR="005E0739">
        <w:t>5</w:t>
      </w:r>
      <w:r>
        <w:t>.1 replicate</w:t>
      </w:r>
      <w:r w:rsidR="00D70FA5">
        <w:t>s</w:t>
      </w:r>
      <w:r>
        <w:t xml:space="preserve"> the main analysis on the full sample. Model A</w:t>
      </w:r>
      <w:r w:rsidR="005E0739">
        <w:t>5</w:t>
      </w:r>
      <w:r>
        <w:t xml:space="preserve">.2 employs a </w:t>
      </w:r>
      <w:proofErr w:type="spellStart"/>
      <w:r>
        <w:t>tobit</w:t>
      </w:r>
      <w:proofErr w:type="spellEnd"/>
      <w:r>
        <w:t xml:space="preserve"> regression bound between 0 and 1, the natural limits of the dependent variable. In Model A</w:t>
      </w:r>
      <w:r w:rsidR="005E0739">
        <w:t>5</w:t>
      </w:r>
      <w:r>
        <w:t>.3 the dependent variable is based only on non-applicant backward citations. In Model A</w:t>
      </w:r>
      <w:r w:rsidR="005E0739">
        <w:t>5</w:t>
      </w:r>
      <w:r>
        <w:t xml:space="preserve">.4 the traditional Herfindahl index measuring the breadth of cited technology classes is used as a dependent variable. </w:t>
      </w:r>
      <w:bookmarkEnd w:id="11"/>
    </w:p>
    <w:sectPr w:rsidR="0039527A">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FB57C3B" w14:textId="77777777" w:rsidR="00B61544" w:rsidRDefault="00B61544" w:rsidP="005A2721">
      <w:r>
        <w:separator/>
      </w:r>
    </w:p>
  </w:endnote>
  <w:endnote w:type="continuationSeparator" w:id="0">
    <w:p w14:paraId="7370B3C2" w14:textId="77777777" w:rsidR="00B61544" w:rsidRDefault="00B61544" w:rsidP="005A27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Ubuntu">
    <w:altName w:val="Calibri"/>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F05BA5" w14:textId="3687E321" w:rsidR="00F559E0" w:rsidRDefault="00D41DB6" w:rsidP="00D41DB6">
    <w:pPr>
      <w:pStyle w:val="Footer"/>
    </w:pPr>
    <w:r>
      <w:t xml:space="preserve">* </w:t>
    </w:r>
    <w:r w:rsidR="00F559E0" w:rsidRPr="00F559E0">
      <w:t>Authors listed alphabetically by last name.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85C3EE" w14:textId="77777777" w:rsidR="00B61544" w:rsidRDefault="00B61544" w:rsidP="00DC0D0A">
      <w:pPr>
        <w:ind w:firstLine="0"/>
      </w:pPr>
      <w:r>
        <w:separator/>
      </w:r>
    </w:p>
  </w:footnote>
  <w:footnote w:type="continuationSeparator" w:id="0">
    <w:p w14:paraId="3DC3F362" w14:textId="77777777" w:rsidR="00B61544" w:rsidRDefault="00B61544" w:rsidP="005A2721">
      <w:r>
        <w:continuationSeparator/>
      </w:r>
    </w:p>
  </w:footnote>
  <w:footnote w:id="1">
    <w:p w14:paraId="4E907FA7" w14:textId="2DB5392F" w:rsidR="00E47FD7" w:rsidRDefault="00E47FD7">
      <w:pPr>
        <w:pStyle w:val="FootnoteText"/>
      </w:pPr>
      <w:r>
        <w:rPr>
          <w:rStyle w:val="FootnoteReference"/>
        </w:rPr>
        <w:footnoteRef/>
      </w:r>
      <w:r>
        <w:t xml:space="preserve"> We rely on granted patents since the USPTO started recording patent applications only in 2001. Additionally, more than 97% of patent applications filed by the inventor teams in our sample as of 2001 were granted. This is not surprising given that we look at teams with star inventors.  </w:t>
      </w:r>
    </w:p>
  </w:footnote>
  <w:footnote w:id="2">
    <w:p w14:paraId="5923C886" w14:textId="28E456C8" w:rsidR="00E47FD7" w:rsidRPr="008337DF" w:rsidRDefault="00E47FD7" w:rsidP="008337DF">
      <w:pPr>
        <w:pStyle w:val="FootnoteText"/>
      </w:pPr>
      <w:r w:rsidRPr="00EE1D76">
        <w:rPr>
          <w:rStyle w:val="FootnoteReference"/>
        </w:rPr>
        <w:footnoteRef/>
      </w:r>
      <w:r>
        <w:t xml:space="preserve"> A patent family represents the entire set of patents and applications filed across different countries protecting a single invention (OECD, 2015). </w:t>
      </w:r>
      <w:r w:rsidRPr="00CE71A9">
        <w:t>In this article, when we refer to “patent”</w:t>
      </w:r>
      <w:r>
        <w:t>,</w:t>
      </w:r>
      <w:r w:rsidRPr="00CE71A9">
        <w:t xml:space="preserve"> we are referring to the simple DOCDB patent family.</w:t>
      </w:r>
    </w:p>
  </w:footnote>
  <w:footnote w:id="3">
    <w:p w14:paraId="1DC2F89E" w14:textId="1A75D5D6" w:rsidR="00E47FD7" w:rsidRPr="008337DF" w:rsidRDefault="00E47FD7">
      <w:pPr>
        <w:pStyle w:val="FootnoteText"/>
      </w:pPr>
      <w:r w:rsidRPr="00EE1D76">
        <w:rPr>
          <w:rStyle w:val="FootnoteReference"/>
        </w:rPr>
        <w:footnoteRef/>
      </w:r>
      <w:r>
        <w:t xml:space="preserve"> Open source dataset, available here: </w:t>
      </w:r>
      <w:hyperlink r:id="rId1" w:history="1">
        <w:r w:rsidRPr="00902274">
          <w:rPr>
            <w:rStyle w:val="Hyperlink"/>
          </w:rPr>
          <w:t>https://github.com/rflynn/pro-file/tree/master/data</w:t>
        </w:r>
      </w:hyperlink>
      <w:r>
        <w:t xml:space="preserve"> (accessed on December 12, 2020)</w:t>
      </w:r>
    </w:p>
  </w:footnote>
  <w:footnote w:id="4">
    <w:p w14:paraId="232931A5" w14:textId="75B10E0C" w:rsidR="00E47FD7" w:rsidRDefault="00E47FD7">
      <w:pPr>
        <w:pStyle w:val="FootnoteText"/>
      </w:pPr>
      <w:r>
        <w:rPr>
          <w:rStyle w:val="FootnoteReference"/>
        </w:rPr>
        <w:footnoteRef/>
      </w:r>
      <w:r>
        <w:t xml:space="preserve"> </w:t>
      </w:r>
      <w:r w:rsidRPr="00315560">
        <w:t>The gender designation procedure is outlined in detail in Appendix 1.</w:t>
      </w:r>
    </w:p>
  </w:footnote>
  <w:footnote w:id="5">
    <w:p w14:paraId="013A0933" w14:textId="4A0D2E3B" w:rsidR="00E47FD7" w:rsidRDefault="00E47FD7" w:rsidP="005A2721">
      <w:pPr>
        <w:pStyle w:val="FootnoteText"/>
      </w:pPr>
      <w:r w:rsidRPr="00EE1D76">
        <w:rPr>
          <w:rStyle w:val="FootnoteReference"/>
        </w:rPr>
        <w:footnoteRef/>
      </w:r>
      <w:r>
        <w:t xml:space="preserve"> </w:t>
      </w:r>
      <w:r w:rsidRPr="000552D1">
        <w:t>For a recent application of CEM matching to inventors and patent data</w:t>
      </w:r>
      <w:r>
        <w:t>,</w:t>
      </w:r>
      <w:r w:rsidRPr="000552D1">
        <w:t xml:space="preserve"> see also</w:t>
      </w:r>
      <w:r>
        <w:t xml:space="preserve"> Le </w:t>
      </w:r>
      <w:r>
        <w:fldChar w:fldCharType="begin" w:fldLock="1"/>
      </w:r>
      <w:r>
        <w:instrText>ADDIN CSL_CITATION {"citationItems":[{"id":"ITEM-1","itemData":{"ISSN":"00487333","abstract":"It is increasingly emphasized that the innovative performance of regions depends on the right balance between local development and external openness. The paper contributes to this discussion by exploring how regional gatekeepers contribute to inventive performance through their intermediation role as they establish extra-local linkages in addition to their local embeddedness. More specifically, we investigate whether firms benefit from the gatekeeping position of their inventors. To do so, we identify corporate inventors with a gatekeeper position, and study whether their presence in inventor teams affects the quality of inventions and differs when gatekeepers cross organizational (intrafirm, interfirm versus science-industry) and/or regional boundaries (one or multiple regions). Our results show that gatekeepers have a higher impact on the quality of inventions when they work for firms involved in inter-firm collaborations unlike external stars who have either no effect or a negative impact on inventive quality.","author":[{"dropping-particle":"","family":"Gallo","given":"Julie","non-dropping-particle":"Le","parse-names":false,"suffix":""},{"dropping-particle":"","family":"Plunket","given":"Anne","non-dropping-particle":"","parse-names":false,"suffix":""}],"container-title":"Research Policy","id":"ITEM-1","issue":"5","issued":{"date-parts":[["2020"]]},"title":"Regional gatekeepers, inventor networks and inventive performance: Spatial and organizational channels","type":"article-journal","volume":"49"},"uris":["http://www.mendeley.com/documents/?uuid=06634d67-cc99-3813-afa9-8bbce42157cf"]}],"mendeley":{"formattedCitation":"(Le Gallo &amp; Plunket, 2020)","manualFormatting":"Gallo &amp; Plunket (2020)","plainTextFormattedCitation":"(Le Gallo &amp; Plunket, 2020)","previouslyFormattedCitation":"(Le Gallo &amp; Plunket, 2020)"},"properties":{"noteIndex":0},"schema":"https://github.com/citation-style-language/schema/raw/master/csl-citation.json"}</w:instrText>
      </w:r>
      <w:r>
        <w:fldChar w:fldCharType="separate"/>
      </w:r>
      <w:r w:rsidRPr="00322133">
        <w:rPr>
          <w:noProof/>
        </w:rPr>
        <w:t xml:space="preserve">Gallo &amp; Plunket </w:t>
      </w:r>
      <w:r>
        <w:rPr>
          <w:noProof/>
        </w:rPr>
        <w:t>(</w:t>
      </w:r>
      <w:r w:rsidRPr="00322133">
        <w:rPr>
          <w:noProof/>
        </w:rPr>
        <w:t>2020)</w:t>
      </w:r>
      <w:r>
        <w:fldChar w:fldCharType="end"/>
      </w:r>
      <w:r>
        <w:t>.</w:t>
      </w:r>
    </w:p>
  </w:footnote>
  <w:footnote w:id="6">
    <w:p w14:paraId="2A7FA912" w14:textId="6EEF0658" w:rsidR="00E47FD7" w:rsidRDefault="00E47FD7" w:rsidP="005A2721">
      <w:pPr>
        <w:pStyle w:val="FootnoteText"/>
      </w:pPr>
      <w:r w:rsidRPr="00EE1D76">
        <w:rPr>
          <w:rStyle w:val="FootnoteReference"/>
        </w:rPr>
        <w:footnoteRef/>
      </w:r>
      <w:r>
        <w:t xml:space="preserve"> A detailed explanation of CEM weights was published by Gary King in 2012 and can be accessed here: </w:t>
      </w:r>
      <w:hyperlink r:id="rId2" w:history="1">
        <w:r w:rsidRPr="00752B10">
          <w:rPr>
            <w:rStyle w:val="Hyperlink"/>
          </w:rPr>
          <w:t>https://docs.google.com/document/d/1xQwyLt_6EXdNpA685LjmhjO20y5pZDZYwe2qeNoI5dE/edit</w:t>
        </w:r>
      </w:hyperlink>
      <w:r>
        <w:t xml:space="preserve"> (accessed on December 3, 2020).</w:t>
      </w:r>
    </w:p>
  </w:footnote>
  <w:footnote w:id="7">
    <w:p w14:paraId="09F707FD" w14:textId="22432421" w:rsidR="00E47FD7" w:rsidRDefault="00E47FD7">
      <w:pPr>
        <w:pStyle w:val="FootnoteText"/>
      </w:pPr>
      <w:r>
        <w:rPr>
          <w:rStyle w:val="FootnoteReference"/>
        </w:rPr>
        <w:footnoteRef/>
      </w:r>
      <w:r>
        <w:t xml:space="preserve"> We achieve similar results by matching on additional covariates and adopt the approach described above as it represents the most parsimonious approach to achieving covariate balance for our data.</w:t>
      </w:r>
    </w:p>
  </w:footnote>
  <w:footnote w:id="8">
    <w:p w14:paraId="7E85D7B6" w14:textId="31A19FDB" w:rsidR="00E47FD7" w:rsidRPr="00B577C2" w:rsidRDefault="00E47FD7" w:rsidP="005A2721">
      <w:pPr>
        <w:pStyle w:val="FootnoteText"/>
      </w:pPr>
      <w:r w:rsidRPr="00EE1D76">
        <w:rPr>
          <w:rStyle w:val="FootnoteReference"/>
        </w:rPr>
        <w:footnoteRef/>
      </w:r>
      <w:r w:rsidRPr="00B577C2">
        <w:t xml:space="preserve"> </w:t>
      </w:r>
      <w:hyperlink r:id="rId3" w:history="1">
        <w:r w:rsidRPr="00B577C2">
          <w:rPr>
            <w:rStyle w:val="Hyperlink"/>
          </w:rPr>
          <w:t>https://www.wipo.int/treaties/en/classification/strasbourg/</w:t>
        </w:r>
      </w:hyperlink>
      <w:r>
        <w:t xml:space="preserve"> </w:t>
      </w:r>
      <w:bookmarkStart w:id="6" w:name="_Hlk62567968"/>
      <w:r>
        <w:t>(accessed on December, 3 2020).</w:t>
      </w:r>
      <w:bookmarkEnd w:id="6"/>
    </w:p>
  </w:footnote>
  <w:footnote w:id="9">
    <w:p w14:paraId="2700D44C" w14:textId="1F1C449D" w:rsidR="00E47FD7" w:rsidRPr="00BE1D87" w:rsidRDefault="00E47FD7" w:rsidP="005A2721">
      <w:pPr>
        <w:pStyle w:val="FootnoteText"/>
      </w:pPr>
      <w:r w:rsidRPr="00EE1D76">
        <w:rPr>
          <w:rStyle w:val="FootnoteReference"/>
        </w:rPr>
        <w:footnoteRef/>
      </w:r>
      <w:r>
        <w:t xml:space="preserve"> This information comes from PatentsView as the detailed locations of inventors and patent-owning entities are recorded when a patent is granted: see </w:t>
      </w:r>
      <w:hyperlink r:id="rId4" w:anchor="viz/locations" w:history="1">
        <w:r w:rsidRPr="00C845C6">
          <w:rPr>
            <w:rStyle w:val="Hyperlink"/>
          </w:rPr>
          <w:t>https://www.patentsview.org/web/#viz/locations</w:t>
        </w:r>
      </w:hyperlink>
      <w:r>
        <w:t xml:space="preserve"> (accessed on November 11, 2020).</w:t>
      </w:r>
    </w:p>
    <w:p w14:paraId="2EAC5C38" w14:textId="22B57972" w:rsidR="00E47FD7" w:rsidRPr="00B40E92" w:rsidRDefault="00E47FD7" w:rsidP="005A2721">
      <w:pPr>
        <w:pStyle w:val="FootnoteText"/>
      </w:pPr>
    </w:p>
  </w:footnote>
  <w:footnote w:id="10">
    <w:p w14:paraId="403DAAAD" w14:textId="7D63649F" w:rsidR="00E47FD7" w:rsidRPr="00BE1D87" w:rsidRDefault="00E47FD7" w:rsidP="005A2721">
      <w:pPr>
        <w:pStyle w:val="FootnoteText"/>
      </w:pPr>
      <w:r w:rsidRPr="00EE1D76">
        <w:rPr>
          <w:rStyle w:val="FootnoteReference"/>
        </w:rPr>
        <w:footnoteRef/>
      </w:r>
      <w:r>
        <w:t xml:space="preserve"> For the United States, we use the share per industry, year, and U.S. federal state. This information also comes from the inventor location retrieved from PatentsView.</w:t>
      </w:r>
    </w:p>
  </w:footnote>
  <w:footnote w:id="11">
    <w:p w14:paraId="27AD2427" w14:textId="107212EB" w:rsidR="00E47FD7" w:rsidRPr="00C763B0" w:rsidRDefault="00E47FD7" w:rsidP="005A2721">
      <w:pPr>
        <w:pStyle w:val="FootnoteText"/>
      </w:pPr>
      <w:r w:rsidRPr="00EE1D76">
        <w:rPr>
          <w:rStyle w:val="FootnoteReference"/>
        </w:rPr>
        <w:footnoteRef/>
      </w:r>
      <w:r>
        <w:t xml:space="preserve"> </w:t>
      </w:r>
      <w:r w:rsidRPr="00C763B0">
        <w:t>Post-estimation tests also reject the null hypothesis that the model was under-identified (Kleibergen–Paap rk LM statistic = 19.39, χ2 p-value = 0.000) or overidentified (Sargan–Hansen J-statistics = 0.000), with the latter indicating that the model was exactly identified.</w:t>
      </w:r>
    </w:p>
  </w:footnote>
  <w:footnote w:id="12">
    <w:p w14:paraId="59B522FC" w14:textId="77777777" w:rsidR="00E47FD7" w:rsidRDefault="00E47FD7" w:rsidP="00755FE0">
      <w:pPr>
        <w:pStyle w:val="FootnoteText"/>
      </w:pPr>
      <w:r w:rsidRPr="00EE1D76">
        <w:rPr>
          <w:rStyle w:val="FootnoteReference"/>
        </w:rPr>
        <w:footnoteRef/>
      </w:r>
      <w:r>
        <w:t xml:space="preserve"> Open source data, available here: </w:t>
      </w:r>
      <w:r w:rsidRPr="00964A48">
        <w:t>https://github.com/rflynn/pro-file/tree/master/data</w:t>
      </w:r>
    </w:p>
  </w:footnote>
  <w:footnote w:id="13">
    <w:p w14:paraId="150C0480" w14:textId="77777777" w:rsidR="00E47FD7" w:rsidRPr="00B26398" w:rsidRDefault="00E47FD7" w:rsidP="00755FE0">
      <w:pPr>
        <w:pStyle w:val="FootnoteText"/>
      </w:pPr>
      <w:r w:rsidRPr="00EE1D76">
        <w:rPr>
          <w:rStyle w:val="FootnoteReference"/>
        </w:rPr>
        <w:footnoteRef/>
      </w:r>
      <w:r>
        <w:t xml:space="preserve"> W</w:t>
      </w:r>
      <w:r w:rsidRPr="00B26398">
        <w:t xml:space="preserve">e </w:t>
      </w:r>
      <w:r>
        <w:t>obtain</w:t>
      </w:r>
      <w:r w:rsidRPr="00B26398">
        <w:t xml:space="preserve"> similar </w:t>
      </w:r>
      <w:r>
        <w:t>in our analysis</w:t>
      </w:r>
      <w:r w:rsidRPr="00B26398">
        <w:t xml:space="preserve"> if we ad</w:t>
      </w:r>
      <w:r>
        <w:t>a</w:t>
      </w:r>
      <w:r w:rsidRPr="00B26398">
        <w:t>pt the threshold to</w:t>
      </w:r>
      <w:r>
        <w:t xml:space="preserve"> 95%</w:t>
      </w:r>
      <w:r w:rsidRPr="00B26398">
        <w:t>, for example</w:t>
      </w:r>
      <w:r>
        <w:t xml:space="preserve">. However, </w:t>
      </w:r>
      <w:r w:rsidRPr="00B26398">
        <w:t>manual inspection of the data show</w:t>
      </w:r>
      <w:r>
        <w:t>ed</w:t>
      </w:r>
      <w:r w:rsidRPr="00B26398">
        <w:t xml:space="preserve"> that </w:t>
      </w:r>
      <w:r>
        <w:t xml:space="preserve">even then </w:t>
      </w:r>
      <w:r w:rsidRPr="00B26398">
        <w:t xml:space="preserve">we include stars falsely classified as female </w:t>
      </w:r>
      <w:r>
        <w:t>inventors. R</w:t>
      </w:r>
      <w:r w:rsidRPr="00B26398">
        <w:t>esults</w:t>
      </w:r>
      <w:r>
        <w:t xml:space="preserve"> are</w:t>
      </w:r>
      <w:r w:rsidRPr="00B26398">
        <w:t xml:space="preserve"> available from the authors</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77997988"/>
      <w:docPartObj>
        <w:docPartGallery w:val="Page Numbers (Top of Page)"/>
        <w:docPartUnique/>
      </w:docPartObj>
    </w:sdtPr>
    <w:sdtContent>
      <w:p w14:paraId="5B22BB30" w14:textId="4AC75C4D" w:rsidR="00E47FD7" w:rsidRDefault="00E47FD7">
        <w:pPr>
          <w:pStyle w:val="Header"/>
          <w:jc w:val="right"/>
        </w:pPr>
        <w:r>
          <w:fldChar w:fldCharType="begin"/>
        </w:r>
        <w:r>
          <w:instrText>PAGE   \* MERGEFORMAT</w:instrText>
        </w:r>
        <w:r>
          <w:fldChar w:fldCharType="separate"/>
        </w:r>
        <w:r>
          <w:rPr>
            <w:lang w:val="de-DE"/>
          </w:rPr>
          <w:t>2</w:t>
        </w:r>
        <w:r>
          <w:fldChar w:fldCharType="end"/>
        </w:r>
      </w:p>
    </w:sdtContent>
  </w:sdt>
  <w:p w14:paraId="458FF88E" w14:textId="77777777" w:rsidR="00E47FD7" w:rsidRDefault="00E47FD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39202215"/>
      <w:docPartObj>
        <w:docPartGallery w:val="Page Numbers (Top of Page)"/>
        <w:docPartUnique/>
      </w:docPartObj>
    </w:sdtPr>
    <w:sdtContent>
      <w:p w14:paraId="4ED18213" w14:textId="5F860268" w:rsidR="00F559E0" w:rsidRDefault="00F559E0" w:rsidP="003D04F6">
        <w:pPr>
          <w:pStyle w:val="Header"/>
          <w:jc w:val="right"/>
        </w:pPr>
        <w:r>
          <w:fldChar w:fldCharType="begin"/>
        </w:r>
        <w:r>
          <w:instrText>PAGE   \* MERGEFORMAT</w:instrText>
        </w:r>
        <w:r>
          <w:fldChar w:fldCharType="separate"/>
        </w:r>
        <w:proofErr w:type="spellStart"/>
        <w:r>
          <w:rPr>
            <w:lang w:val="de-DE"/>
          </w:rPr>
          <w:t>2</w:t>
        </w:r>
        <w:r>
          <w:fldChar w:fldCharType="end"/>
        </w:r>
        <w:proofErr w:type="spellEnd"/>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704E5A"/>
    <w:multiLevelType w:val="hybridMultilevel"/>
    <w:tmpl w:val="D348FE66"/>
    <w:lvl w:ilvl="0" w:tplc="50C29CA4">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481844"/>
    <w:multiLevelType w:val="hybridMultilevel"/>
    <w:tmpl w:val="1400C246"/>
    <w:lvl w:ilvl="0" w:tplc="0A1C45C6">
      <w:numFmt w:val="bullet"/>
      <w:lvlText w:val=""/>
      <w:lvlJc w:val="left"/>
      <w:pPr>
        <w:ind w:left="1069" w:hanging="360"/>
      </w:pPr>
      <w:rPr>
        <w:rFonts w:ascii="Wingdings" w:eastAsia="Calibri" w:hAnsi="Wingdings" w:cs="Times New Roman"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 w15:restartNumberingAfterBreak="0">
    <w:nsid w:val="19895A63"/>
    <w:multiLevelType w:val="hybridMultilevel"/>
    <w:tmpl w:val="9B5210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DAD25DA"/>
    <w:multiLevelType w:val="hybridMultilevel"/>
    <w:tmpl w:val="BB425E4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D71A4B"/>
    <w:multiLevelType w:val="hybridMultilevel"/>
    <w:tmpl w:val="F8128CB8"/>
    <w:lvl w:ilvl="0" w:tplc="833AF1C0">
      <w:start w:val="2"/>
      <w:numFmt w:val="bullet"/>
      <w:lvlText w:val=""/>
      <w:lvlJc w:val="left"/>
      <w:pPr>
        <w:ind w:left="1069" w:hanging="360"/>
      </w:pPr>
      <w:rPr>
        <w:rFonts w:ascii="Wingdings" w:eastAsia="Calibri" w:hAnsi="Wingdings" w:cs="Times New Roman"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5" w15:restartNumberingAfterBreak="0">
    <w:nsid w:val="47F95BC2"/>
    <w:multiLevelType w:val="hybridMultilevel"/>
    <w:tmpl w:val="B7C6D7FA"/>
    <w:lvl w:ilvl="0" w:tplc="2C9498F6">
      <w:start w:val="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FD90BC0"/>
    <w:multiLevelType w:val="hybridMultilevel"/>
    <w:tmpl w:val="E3528248"/>
    <w:lvl w:ilvl="0" w:tplc="E1E464A0">
      <w:start w:val="21"/>
      <w:numFmt w:val="bullet"/>
      <w:lvlText w:val=""/>
      <w:lvlJc w:val="left"/>
      <w:pPr>
        <w:ind w:left="1069" w:hanging="360"/>
      </w:pPr>
      <w:rPr>
        <w:rFonts w:ascii="Symbol" w:eastAsia="Calibri" w:hAnsi="Symbol" w:cs="Times New Roman" w:hint="default"/>
      </w:rPr>
    </w:lvl>
    <w:lvl w:ilvl="1" w:tplc="04070003" w:tentative="1">
      <w:start w:val="1"/>
      <w:numFmt w:val="bullet"/>
      <w:lvlText w:val="o"/>
      <w:lvlJc w:val="left"/>
      <w:pPr>
        <w:ind w:left="1789" w:hanging="360"/>
      </w:pPr>
      <w:rPr>
        <w:rFonts w:ascii="Courier New" w:hAnsi="Courier New" w:cs="Courier New"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Courier New"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Courier New" w:hint="default"/>
      </w:rPr>
    </w:lvl>
    <w:lvl w:ilvl="8" w:tplc="04070005" w:tentative="1">
      <w:start w:val="1"/>
      <w:numFmt w:val="bullet"/>
      <w:lvlText w:val=""/>
      <w:lvlJc w:val="left"/>
      <w:pPr>
        <w:ind w:left="6829" w:hanging="360"/>
      </w:pPr>
      <w:rPr>
        <w:rFonts w:ascii="Wingdings" w:hAnsi="Wingdings" w:hint="default"/>
      </w:rPr>
    </w:lvl>
  </w:abstractNum>
  <w:abstractNum w:abstractNumId="7" w15:restartNumberingAfterBreak="0">
    <w:nsid w:val="5960096A"/>
    <w:multiLevelType w:val="hybridMultilevel"/>
    <w:tmpl w:val="37F066E8"/>
    <w:lvl w:ilvl="0" w:tplc="04070001">
      <w:start w:val="1"/>
      <w:numFmt w:val="bullet"/>
      <w:lvlText w:val=""/>
      <w:lvlJc w:val="left"/>
      <w:pPr>
        <w:ind w:left="360" w:hanging="360"/>
      </w:pPr>
      <w:rPr>
        <w:rFonts w:ascii="Symbol" w:hAnsi="Symbol" w:hint="default"/>
      </w:rPr>
    </w:lvl>
    <w:lvl w:ilvl="1" w:tplc="CD561384">
      <w:start w:val="1"/>
      <w:numFmt w:val="bullet"/>
      <w:pStyle w:val="CitaviBibliographySubheading8"/>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B79C86D4">
      <w:start w:val="5"/>
      <w:numFmt w:val="bullet"/>
      <w:lvlText w:val=""/>
      <w:lvlJc w:val="left"/>
      <w:pPr>
        <w:ind w:left="2520" w:hanging="360"/>
      </w:pPr>
      <w:rPr>
        <w:rFonts w:ascii="Wingdings" w:eastAsiaTheme="minorHAnsi" w:hAnsi="Wingdings" w:cstheme="minorBidi" w:hint="default"/>
      </w:rPr>
    </w:lvl>
    <w:lvl w:ilvl="4" w:tplc="57F012C2">
      <w:start w:val="5"/>
      <w:numFmt w:val="bullet"/>
      <w:lvlText w:val="-"/>
      <w:lvlJc w:val="left"/>
      <w:pPr>
        <w:ind w:left="3240" w:hanging="360"/>
      </w:pPr>
      <w:rPr>
        <w:rFonts w:ascii="Calibri" w:eastAsiaTheme="minorHAnsi" w:hAnsi="Calibri" w:cs="Calibri"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5BE932FF"/>
    <w:multiLevelType w:val="hybridMultilevel"/>
    <w:tmpl w:val="53DEBD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BA56804"/>
    <w:multiLevelType w:val="hybridMultilevel"/>
    <w:tmpl w:val="207A6DC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71993B98"/>
    <w:multiLevelType w:val="hybridMultilevel"/>
    <w:tmpl w:val="E854A4A8"/>
    <w:lvl w:ilvl="0" w:tplc="F8128F4C">
      <w:numFmt w:val="bullet"/>
      <w:lvlText w:val="-"/>
      <w:lvlJc w:val="left"/>
      <w:pPr>
        <w:ind w:left="410" w:hanging="360"/>
      </w:pPr>
      <w:rPr>
        <w:rFonts w:ascii="Calibri" w:eastAsia="Calibri" w:hAnsi="Calibri" w:cs="Calibri" w:hint="default"/>
      </w:rPr>
    </w:lvl>
    <w:lvl w:ilvl="1" w:tplc="04070003">
      <w:start w:val="1"/>
      <w:numFmt w:val="bullet"/>
      <w:lvlText w:val="o"/>
      <w:lvlJc w:val="left"/>
      <w:pPr>
        <w:ind w:left="1130" w:hanging="360"/>
      </w:pPr>
      <w:rPr>
        <w:rFonts w:ascii="Courier New" w:hAnsi="Courier New" w:cs="Courier New" w:hint="default"/>
      </w:rPr>
    </w:lvl>
    <w:lvl w:ilvl="2" w:tplc="04070005">
      <w:start w:val="1"/>
      <w:numFmt w:val="bullet"/>
      <w:lvlText w:val=""/>
      <w:lvlJc w:val="left"/>
      <w:pPr>
        <w:ind w:left="1850" w:hanging="360"/>
      </w:pPr>
      <w:rPr>
        <w:rFonts w:ascii="Wingdings" w:hAnsi="Wingdings" w:hint="default"/>
      </w:rPr>
    </w:lvl>
    <w:lvl w:ilvl="3" w:tplc="04070001">
      <w:start w:val="1"/>
      <w:numFmt w:val="bullet"/>
      <w:lvlText w:val=""/>
      <w:lvlJc w:val="left"/>
      <w:pPr>
        <w:ind w:left="2570" w:hanging="360"/>
      </w:pPr>
      <w:rPr>
        <w:rFonts w:ascii="Symbol" w:hAnsi="Symbol" w:hint="default"/>
      </w:rPr>
    </w:lvl>
    <w:lvl w:ilvl="4" w:tplc="04070003">
      <w:start w:val="1"/>
      <w:numFmt w:val="bullet"/>
      <w:lvlText w:val="o"/>
      <w:lvlJc w:val="left"/>
      <w:pPr>
        <w:ind w:left="3290" w:hanging="360"/>
      </w:pPr>
      <w:rPr>
        <w:rFonts w:ascii="Courier New" w:hAnsi="Courier New" w:cs="Courier New" w:hint="default"/>
      </w:rPr>
    </w:lvl>
    <w:lvl w:ilvl="5" w:tplc="04070005">
      <w:start w:val="1"/>
      <w:numFmt w:val="bullet"/>
      <w:lvlText w:val=""/>
      <w:lvlJc w:val="left"/>
      <w:pPr>
        <w:ind w:left="4010" w:hanging="360"/>
      </w:pPr>
      <w:rPr>
        <w:rFonts w:ascii="Wingdings" w:hAnsi="Wingdings" w:hint="default"/>
      </w:rPr>
    </w:lvl>
    <w:lvl w:ilvl="6" w:tplc="04070001">
      <w:start w:val="1"/>
      <w:numFmt w:val="bullet"/>
      <w:lvlText w:val=""/>
      <w:lvlJc w:val="left"/>
      <w:pPr>
        <w:ind w:left="4730" w:hanging="360"/>
      </w:pPr>
      <w:rPr>
        <w:rFonts w:ascii="Symbol" w:hAnsi="Symbol" w:hint="default"/>
      </w:rPr>
    </w:lvl>
    <w:lvl w:ilvl="7" w:tplc="04070003">
      <w:start w:val="1"/>
      <w:numFmt w:val="bullet"/>
      <w:lvlText w:val="o"/>
      <w:lvlJc w:val="left"/>
      <w:pPr>
        <w:ind w:left="5450" w:hanging="360"/>
      </w:pPr>
      <w:rPr>
        <w:rFonts w:ascii="Courier New" w:hAnsi="Courier New" w:cs="Courier New" w:hint="default"/>
      </w:rPr>
    </w:lvl>
    <w:lvl w:ilvl="8" w:tplc="04070005">
      <w:start w:val="1"/>
      <w:numFmt w:val="bullet"/>
      <w:lvlText w:val=""/>
      <w:lvlJc w:val="left"/>
      <w:pPr>
        <w:ind w:left="6170" w:hanging="360"/>
      </w:pPr>
      <w:rPr>
        <w:rFonts w:ascii="Wingdings" w:hAnsi="Wingdings" w:hint="default"/>
      </w:rPr>
    </w:lvl>
  </w:abstractNum>
  <w:abstractNum w:abstractNumId="11" w15:restartNumberingAfterBreak="0">
    <w:nsid w:val="79C07E87"/>
    <w:multiLevelType w:val="hybridMultilevel"/>
    <w:tmpl w:val="053C147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7"/>
  </w:num>
  <w:num w:numId="3">
    <w:abstractNumId w:val="2"/>
  </w:num>
  <w:num w:numId="4">
    <w:abstractNumId w:val="8"/>
  </w:num>
  <w:num w:numId="5">
    <w:abstractNumId w:val="5"/>
  </w:num>
  <w:num w:numId="6">
    <w:abstractNumId w:val="3"/>
  </w:num>
  <w:num w:numId="7">
    <w:abstractNumId w:val="9"/>
  </w:num>
  <w:num w:numId="8">
    <w:abstractNumId w:val="0"/>
  </w:num>
  <w:num w:numId="9">
    <w:abstractNumId w:val="10"/>
  </w:num>
  <w:num w:numId="10">
    <w:abstractNumId w:val="1"/>
  </w:num>
  <w:num w:numId="11">
    <w:abstractNumId w:val="4"/>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40F2"/>
    <w:rsid w:val="00000952"/>
    <w:rsid w:val="000021EE"/>
    <w:rsid w:val="0000232E"/>
    <w:rsid w:val="00004F9A"/>
    <w:rsid w:val="0000551D"/>
    <w:rsid w:val="00011D04"/>
    <w:rsid w:val="00012046"/>
    <w:rsid w:val="0001237F"/>
    <w:rsid w:val="000124FD"/>
    <w:rsid w:val="00014C8B"/>
    <w:rsid w:val="00014F75"/>
    <w:rsid w:val="0001517A"/>
    <w:rsid w:val="000167D5"/>
    <w:rsid w:val="0001791D"/>
    <w:rsid w:val="000217D0"/>
    <w:rsid w:val="00022AEF"/>
    <w:rsid w:val="00022E78"/>
    <w:rsid w:val="000238A9"/>
    <w:rsid w:val="00023FA5"/>
    <w:rsid w:val="00025072"/>
    <w:rsid w:val="00025210"/>
    <w:rsid w:val="00031BC7"/>
    <w:rsid w:val="000328E9"/>
    <w:rsid w:val="00033636"/>
    <w:rsid w:val="00036585"/>
    <w:rsid w:val="00037553"/>
    <w:rsid w:val="00037FA8"/>
    <w:rsid w:val="00040B1E"/>
    <w:rsid w:val="00041459"/>
    <w:rsid w:val="000472B3"/>
    <w:rsid w:val="0004763D"/>
    <w:rsid w:val="00047AE2"/>
    <w:rsid w:val="0005006C"/>
    <w:rsid w:val="00051336"/>
    <w:rsid w:val="00052468"/>
    <w:rsid w:val="0005262B"/>
    <w:rsid w:val="000535A8"/>
    <w:rsid w:val="00054FDB"/>
    <w:rsid w:val="000552D1"/>
    <w:rsid w:val="00055B22"/>
    <w:rsid w:val="00055D90"/>
    <w:rsid w:val="000575A8"/>
    <w:rsid w:val="00060134"/>
    <w:rsid w:val="000627F8"/>
    <w:rsid w:val="00070BED"/>
    <w:rsid w:val="00070DBA"/>
    <w:rsid w:val="00070EA9"/>
    <w:rsid w:val="00075215"/>
    <w:rsid w:val="00075A38"/>
    <w:rsid w:val="000814C9"/>
    <w:rsid w:val="00081CE5"/>
    <w:rsid w:val="00081D41"/>
    <w:rsid w:val="00084E63"/>
    <w:rsid w:val="000856C2"/>
    <w:rsid w:val="0008683E"/>
    <w:rsid w:val="00090A0A"/>
    <w:rsid w:val="000927B6"/>
    <w:rsid w:val="00094E07"/>
    <w:rsid w:val="00095E19"/>
    <w:rsid w:val="000972E2"/>
    <w:rsid w:val="000A1777"/>
    <w:rsid w:val="000A2977"/>
    <w:rsid w:val="000A3DE6"/>
    <w:rsid w:val="000A4434"/>
    <w:rsid w:val="000A5DE9"/>
    <w:rsid w:val="000A634B"/>
    <w:rsid w:val="000A7290"/>
    <w:rsid w:val="000B0397"/>
    <w:rsid w:val="000B05A5"/>
    <w:rsid w:val="000B0985"/>
    <w:rsid w:val="000B3877"/>
    <w:rsid w:val="000B5F83"/>
    <w:rsid w:val="000C03A8"/>
    <w:rsid w:val="000C3C0F"/>
    <w:rsid w:val="000D087A"/>
    <w:rsid w:val="000D17CF"/>
    <w:rsid w:val="000D31DC"/>
    <w:rsid w:val="000D344F"/>
    <w:rsid w:val="000D58C0"/>
    <w:rsid w:val="000E0823"/>
    <w:rsid w:val="000E1779"/>
    <w:rsid w:val="000E22E2"/>
    <w:rsid w:val="000E357B"/>
    <w:rsid w:val="000E6AF5"/>
    <w:rsid w:val="000E6D9D"/>
    <w:rsid w:val="000F06E1"/>
    <w:rsid w:val="000F1478"/>
    <w:rsid w:val="000F20B4"/>
    <w:rsid w:val="000F43BE"/>
    <w:rsid w:val="000F49E3"/>
    <w:rsid w:val="000F57B2"/>
    <w:rsid w:val="000F5AA0"/>
    <w:rsid w:val="000F755A"/>
    <w:rsid w:val="00101DB8"/>
    <w:rsid w:val="0010201B"/>
    <w:rsid w:val="001039D0"/>
    <w:rsid w:val="00106724"/>
    <w:rsid w:val="00106F24"/>
    <w:rsid w:val="001137E5"/>
    <w:rsid w:val="00113EAC"/>
    <w:rsid w:val="001164AF"/>
    <w:rsid w:val="001215E9"/>
    <w:rsid w:val="001217E7"/>
    <w:rsid w:val="0013759F"/>
    <w:rsid w:val="00141503"/>
    <w:rsid w:val="00147674"/>
    <w:rsid w:val="00147E63"/>
    <w:rsid w:val="00151B1B"/>
    <w:rsid w:val="00152F61"/>
    <w:rsid w:val="001552D5"/>
    <w:rsid w:val="00156B71"/>
    <w:rsid w:val="00157F68"/>
    <w:rsid w:val="0016137F"/>
    <w:rsid w:val="00161CB4"/>
    <w:rsid w:val="00161E30"/>
    <w:rsid w:val="00162464"/>
    <w:rsid w:val="001648B4"/>
    <w:rsid w:val="00164B10"/>
    <w:rsid w:val="00164F21"/>
    <w:rsid w:val="00165B04"/>
    <w:rsid w:val="00165DFF"/>
    <w:rsid w:val="0017038D"/>
    <w:rsid w:val="001705A8"/>
    <w:rsid w:val="00170FFA"/>
    <w:rsid w:val="00172923"/>
    <w:rsid w:val="001778F7"/>
    <w:rsid w:val="00180747"/>
    <w:rsid w:val="00185079"/>
    <w:rsid w:val="00187531"/>
    <w:rsid w:val="001878F3"/>
    <w:rsid w:val="001904F1"/>
    <w:rsid w:val="0019106E"/>
    <w:rsid w:val="00192530"/>
    <w:rsid w:val="00193A35"/>
    <w:rsid w:val="00194783"/>
    <w:rsid w:val="001948D7"/>
    <w:rsid w:val="0019499A"/>
    <w:rsid w:val="00195E75"/>
    <w:rsid w:val="0019714C"/>
    <w:rsid w:val="00197650"/>
    <w:rsid w:val="00197830"/>
    <w:rsid w:val="001A11FA"/>
    <w:rsid w:val="001A2295"/>
    <w:rsid w:val="001A4548"/>
    <w:rsid w:val="001A5646"/>
    <w:rsid w:val="001A6D88"/>
    <w:rsid w:val="001B1BF2"/>
    <w:rsid w:val="001B2BF7"/>
    <w:rsid w:val="001B4B83"/>
    <w:rsid w:val="001B7762"/>
    <w:rsid w:val="001C5681"/>
    <w:rsid w:val="001C6203"/>
    <w:rsid w:val="001C76AC"/>
    <w:rsid w:val="001D099E"/>
    <w:rsid w:val="001D0F02"/>
    <w:rsid w:val="001D680E"/>
    <w:rsid w:val="001E6427"/>
    <w:rsid w:val="001E7DF1"/>
    <w:rsid w:val="001E7E3A"/>
    <w:rsid w:val="001F0E01"/>
    <w:rsid w:val="001F1F8D"/>
    <w:rsid w:val="001F1FE5"/>
    <w:rsid w:val="001F3449"/>
    <w:rsid w:val="001F5043"/>
    <w:rsid w:val="001F6AFB"/>
    <w:rsid w:val="001F6BF8"/>
    <w:rsid w:val="001F6C32"/>
    <w:rsid w:val="002015B3"/>
    <w:rsid w:val="00202D42"/>
    <w:rsid w:val="00203515"/>
    <w:rsid w:val="00206C5A"/>
    <w:rsid w:val="00207261"/>
    <w:rsid w:val="002106BD"/>
    <w:rsid w:val="00210E0D"/>
    <w:rsid w:val="0021260A"/>
    <w:rsid w:val="00215399"/>
    <w:rsid w:val="00215DC7"/>
    <w:rsid w:val="00215F42"/>
    <w:rsid w:val="00216F49"/>
    <w:rsid w:val="00220B7B"/>
    <w:rsid w:val="002213D9"/>
    <w:rsid w:val="00221538"/>
    <w:rsid w:val="002225F5"/>
    <w:rsid w:val="00222D7D"/>
    <w:rsid w:val="00223658"/>
    <w:rsid w:val="00224B30"/>
    <w:rsid w:val="00225340"/>
    <w:rsid w:val="0022551E"/>
    <w:rsid w:val="00225734"/>
    <w:rsid w:val="002261EE"/>
    <w:rsid w:val="00231F54"/>
    <w:rsid w:val="002346EC"/>
    <w:rsid w:val="00234D30"/>
    <w:rsid w:val="00237B2B"/>
    <w:rsid w:val="002431D1"/>
    <w:rsid w:val="00244017"/>
    <w:rsid w:val="002440A1"/>
    <w:rsid w:val="00244268"/>
    <w:rsid w:val="00244F14"/>
    <w:rsid w:val="00245C11"/>
    <w:rsid w:val="00245CE6"/>
    <w:rsid w:val="00246015"/>
    <w:rsid w:val="00246CD1"/>
    <w:rsid w:val="0025048D"/>
    <w:rsid w:val="0025116D"/>
    <w:rsid w:val="00251713"/>
    <w:rsid w:val="00252E20"/>
    <w:rsid w:val="00253863"/>
    <w:rsid w:val="00253FD3"/>
    <w:rsid w:val="002547D7"/>
    <w:rsid w:val="00254909"/>
    <w:rsid w:val="002549E5"/>
    <w:rsid w:val="00255E51"/>
    <w:rsid w:val="0025610F"/>
    <w:rsid w:val="00257591"/>
    <w:rsid w:val="00257AE4"/>
    <w:rsid w:val="00257C59"/>
    <w:rsid w:val="0026078D"/>
    <w:rsid w:val="002611B7"/>
    <w:rsid w:val="00261254"/>
    <w:rsid w:val="0026196A"/>
    <w:rsid w:val="0026392B"/>
    <w:rsid w:val="00263B50"/>
    <w:rsid w:val="0026587A"/>
    <w:rsid w:val="00267956"/>
    <w:rsid w:val="002708AE"/>
    <w:rsid w:val="002744E8"/>
    <w:rsid w:val="0027505B"/>
    <w:rsid w:val="002754DC"/>
    <w:rsid w:val="00276251"/>
    <w:rsid w:val="00277ADA"/>
    <w:rsid w:val="00277E94"/>
    <w:rsid w:val="00282FB4"/>
    <w:rsid w:val="002836B3"/>
    <w:rsid w:val="002865F6"/>
    <w:rsid w:val="00286CC2"/>
    <w:rsid w:val="00287873"/>
    <w:rsid w:val="00287AB6"/>
    <w:rsid w:val="00290C91"/>
    <w:rsid w:val="002923AC"/>
    <w:rsid w:val="002925F0"/>
    <w:rsid w:val="00292634"/>
    <w:rsid w:val="00292E03"/>
    <w:rsid w:val="002963BC"/>
    <w:rsid w:val="00296A75"/>
    <w:rsid w:val="00296E13"/>
    <w:rsid w:val="002A4695"/>
    <w:rsid w:val="002A6528"/>
    <w:rsid w:val="002A6C86"/>
    <w:rsid w:val="002B1397"/>
    <w:rsid w:val="002B1E63"/>
    <w:rsid w:val="002B233F"/>
    <w:rsid w:val="002B7396"/>
    <w:rsid w:val="002C1B5E"/>
    <w:rsid w:val="002C224F"/>
    <w:rsid w:val="002C392A"/>
    <w:rsid w:val="002C710D"/>
    <w:rsid w:val="002D0806"/>
    <w:rsid w:val="002D0DE7"/>
    <w:rsid w:val="002D1F1E"/>
    <w:rsid w:val="002D210A"/>
    <w:rsid w:val="002D2B7B"/>
    <w:rsid w:val="002D2D5B"/>
    <w:rsid w:val="002D4A5A"/>
    <w:rsid w:val="002D5A57"/>
    <w:rsid w:val="002D5DF5"/>
    <w:rsid w:val="002D7A24"/>
    <w:rsid w:val="002E0C07"/>
    <w:rsid w:val="002E1B70"/>
    <w:rsid w:val="002E200E"/>
    <w:rsid w:val="002E2188"/>
    <w:rsid w:val="002E2D35"/>
    <w:rsid w:val="002E4201"/>
    <w:rsid w:val="002E4C15"/>
    <w:rsid w:val="002E5A64"/>
    <w:rsid w:val="002E6743"/>
    <w:rsid w:val="002E6C15"/>
    <w:rsid w:val="002E76C7"/>
    <w:rsid w:val="002F0222"/>
    <w:rsid w:val="002F2B7D"/>
    <w:rsid w:val="003028D3"/>
    <w:rsid w:val="003039E0"/>
    <w:rsid w:val="0030406F"/>
    <w:rsid w:val="003042E8"/>
    <w:rsid w:val="00305E65"/>
    <w:rsid w:val="003069D1"/>
    <w:rsid w:val="0031206C"/>
    <w:rsid w:val="00315560"/>
    <w:rsid w:val="0032178B"/>
    <w:rsid w:val="003219D1"/>
    <w:rsid w:val="00322133"/>
    <w:rsid w:val="003222F8"/>
    <w:rsid w:val="00322AEC"/>
    <w:rsid w:val="003271FB"/>
    <w:rsid w:val="00335842"/>
    <w:rsid w:val="0034216A"/>
    <w:rsid w:val="00343193"/>
    <w:rsid w:val="003433AC"/>
    <w:rsid w:val="00344068"/>
    <w:rsid w:val="00344BA9"/>
    <w:rsid w:val="00351BFA"/>
    <w:rsid w:val="00351C24"/>
    <w:rsid w:val="00351E30"/>
    <w:rsid w:val="00353B83"/>
    <w:rsid w:val="00354827"/>
    <w:rsid w:val="003567B5"/>
    <w:rsid w:val="00356E9F"/>
    <w:rsid w:val="00357829"/>
    <w:rsid w:val="0036073A"/>
    <w:rsid w:val="00361E49"/>
    <w:rsid w:val="00361F27"/>
    <w:rsid w:val="00365FD2"/>
    <w:rsid w:val="0036779C"/>
    <w:rsid w:val="00367A88"/>
    <w:rsid w:val="00367D67"/>
    <w:rsid w:val="00367D99"/>
    <w:rsid w:val="003705CC"/>
    <w:rsid w:val="00371C26"/>
    <w:rsid w:val="00375D57"/>
    <w:rsid w:val="00377430"/>
    <w:rsid w:val="003801F2"/>
    <w:rsid w:val="00381260"/>
    <w:rsid w:val="00382CE3"/>
    <w:rsid w:val="0038387E"/>
    <w:rsid w:val="00384E9B"/>
    <w:rsid w:val="003850C4"/>
    <w:rsid w:val="003855F0"/>
    <w:rsid w:val="00385F74"/>
    <w:rsid w:val="00391DA0"/>
    <w:rsid w:val="00391EDD"/>
    <w:rsid w:val="0039276B"/>
    <w:rsid w:val="0039298F"/>
    <w:rsid w:val="0039527A"/>
    <w:rsid w:val="00395A63"/>
    <w:rsid w:val="003A1DEF"/>
    <w:rsid w:val="003A3418"/>
    <w:rsid w:val="003A3951"/>
    <w:rsid w:val="003A3BDC"/>
    <w:rsid w:val="003A4F2C"/>
    <w:rsid w:val="003A5E30"/>
    <w:rsid w:val="003A6358"/>
    <w:rsid w:val="003A6CA5"/>
    <w:rsid w:val="003A7479"/>
    <w:rsid w:val="003B2E35"/>
    <w:rsid w:val="003B3D9C"/>
    <w:rsid w:val="003B62BC"/>
    <w:rsid w:val="003B738E"/>
    <w:rsid w:val="003C016E"/>
    <w:rsid w:val="003C0C41"/>
    <w:rsid w:val="003C433B"/>
    <w:rsid w:val="003C51FD"/>
    <w:rsid w:val="003D04F6"/>
    <w:rsid w:val="003D056C"/>
    <w:rsid w:val="003D3F42"/>
    <w:rsid w:val="003D458F"/>
    <w:rsid w:val="003D48D6"/>
    <w:rsid w:val="003D6DBC"/>
    <w:rsid w:val="003E05F9"/>
    <w:rsid w:val="003E1D1E"/>
    <w:rsid w:val="003E2862"/>
    <w:rsid w:val="003E3C24"/>
    <w:rsid w:val="003E4BC5"/>
    <w:rsid w:val="003E5202"/>
    <w:rsid w:val="003E59B3"/>
    <w:rsid w:val="003E5AEA"/>
    <w:rsid w:val="003F0245"/>
    <w:rsid w:val="003F08F6"/>
    <w:rsid w:val="003F12E4"/>
    <w:rsid w:val="003F3A2E"/>
    <w:rsid w:val="003F3A54"/>
    <w:rsid w:val="003F6EC8"/>
    <w:rsid w:val="003F7717"/>
    <w:rsid w:val="003F782B"/>
    <w:rsid w:val="00401FE5"/>
    <w:rsid w:val="00402080"/>
    <w:rsid w:val="00403031"/>
    <w:rsid w:val="0040383F"/>
    <w:rsid w:val="00403C3B"/>
    <w:rsid w:val="00404ACB"/>
    <w:rsid w:val="00406A9E"/>
    <w:rsid w:val="00406BFD"/>
    <w:rsid w:val="00407960"/>
    <w:rsid w:val="00411A39"/>
    <w:rsid w:val="00412AD7"/>
    <w:rsid w:val="004135B1"/>
    <w:rsid w:val="00414B67"/>
    <w:rsid w:val="00414C92"/>
    <w:rsid w:val="004155FD"/>
    <w:rsid w:val="00416714"/>
    <w:rsid w:val="00417D22"/>
    <w:rsid w:val="00421A9E"/>
    <w:rsid w:val="004226AA"/>
    <w:rsid w:val="00422BD6"/>
    <w:rsid w:val="00423BDF"/>
    <w:rsid w:val="004240F2"/>
    <w:rsid w:val="00425AD5"/>
    <w:rsid w:val="00426F72"/>
    <w:rsid w:val="00430B54"/>
    <w:rsid w:val="004324AC"/>
    <w:rsid w:val="004324AE"/>
    <w:rsid w:val="00432F43"/>
    <w:rsid w:val="0043354E"/>
    <w:rsid w:val="00434F0F"/>
    <w:rsid w:val="004377FB"/>
    <w:rsid w:val="00441009"/>
    <w:rsid w:val="0044214A"/>
    <w:rsid w:val="00442608"/>
    <w:rsid w:val="004430C5"/>
    <w:rsid w:val="00443216"/>
    <w:rsid w:val="00444B12"/>
    <w:rsid w:val="00445DAE"/>
    <w:rsid w:val="004478B0"/>
    <w:rsid w:val="0045017E"/>
    <w:rsid w:val="00450D47"/>
    <w:rsid w:val="00452140"/>
    <w:rsid w:val="0045309F"/>
    <w:rsid w:val="00453117"/>
    <w:rsid w:val="004533EC"/>
    <w:rsid w:val="00463ADE"/>
    <w:rsid w:val="004666E9"/>
    <w:rsid w:val="0046679C"/>
    <w:rsid w:val="0047166D"/>
    <w:rsid w:val="00472671"/>
    <w:rsid w:val="0047283B"/>
    <w:rsid w:val="0047347A"/>
    <w:rsid w:val="00474E7A"/>
    <w:rsid w:val="004757A5"/>
    <w:rsid w:val="00476599"/>
    <w:rsid w:val="00476EE6"/>
    <w:rsid w:val="00481751"/>
    <w:rsid w:val="00482994"/>
    <w:rsid w:val="0048325C"/>
    <w:rsid w:val="004832FF"/>
    <w:rsid w:val="00483980"/>
    <w:rsid w:val="004857EA"/>
    <w:rsid w:val="00485DB7"/>
    <w:rsid w:val="00490A95"/>
    <w:rsid w:val="004922C2"/>
    <w:rsid w:val="004956E1"/>
    <w:rsid w:val="00495C1C"/>
    <w:rsid w:val="004A0315"/>
    <w:rsid w:val="004A49E7"/>
    <w:rsid w:val="004A776C"/>
    <w:rsid w:val="004A7D38"/>
    <w:rsid w:val="004B2BE1"/>
    <w:rsid w:val="004B3C59"/>
    <w:rsid w:val="004B3D32"/>
    <w:rsid w:val="004B3F13"/>
    <w:rsid w:val="004B4B9D"/>
    <w:rsid w:val="004B7973"/>
    <w:rsid w:val="004C2391"/>
    <w:rsid w:val="004C28BE"/>
    <w:rsid w:val="004C2D78"/>
    <w:rsid w:val="004C309E"/>
    <w:rsid w:val="004C30EA"/>
    <w:rsid w:val="004C778C"/>
    <w:rsid w:val="004D18BF"/>
    <w:rsid w:val="004D547D"/>
    <w:rsid w:val="004D6893"/>
    <w:rsid w:val="004D7BD4"/>
    <w:rsid w:val="004E0083"/>
    <w:rsid w:val="004E0986"/>
    <w:rsid w:val="004E1E81"/>
    <w:rsid w:val="004E5FCE"/>
    <w:rsid w:val="004F4FBA"/>
    <w:rsid w:val="004F673C"/>
    <w:rsid w:val="00500A03"/>
    <w:rsid w:val="00500DBE"/>
    <w:rsid w:val="00502160"/>
    <w:rsid w:val="005038D1"/>
    <w:rsid w:val="00503CB8"/>
    <w:rsid w:val="00507A45"/>
    <w:rsid w:val="00512759"/>
    <w:rsid w:val="005136C9"/>
    <w:rsid w:val="00517D02"/>
    <w:rsid w:val="0052035D"/>
    <w:rsid w:val="005233A1"/>
    <w:rsid w:val="00523D30"/>
    <w:rsid w:val="00524862"/>
    <w:rsid w:val="005267D3"/>
    <w:rsid w:val="005270EB"/>
    <w:rsid w:val="00527B02"/>
    <w:rsid w:val="005310D4"/>
    <w:rsid w:val="0053368F"/>
    <w:rsid w:val="005356C6"/>
    <w:rsid w:val="0054065C"/>
    <w:rsid w:val="00540826"/>
    <w:rsid w:val="00540B97"/>
    <w:rsid w:val="005439C3"/>
    <w:rsid w:val="0054501E"/>
    <w:rsid w:val="005456BF"/>
    <w:rsid w:val="00545B9B"/>
    <w:rsid w:val="00545F66"/>
    <w:rsid w:val="00546294"/>
    <w:rsid w:val="00546564"/>
    <w:rsid w:val="005500E9"/>
    <w:rsid w:val="00551E27"/>
    <w:rsid w:val="0055504C"/>
    <w:rsid w:val="0055649E"/>
    <w:rsid w:val="00563C72"/>
    <w:rsid w:val="0056498B"/>
    <w:rsid w:val="005662E2"/>
    <w:rsid w:val="00567FDE"/>
    <w:rsid w:val="005700D0"/>
    <w:rsid w:val="005701EF"/>
    <w:rsid w:val="0057053C"/>
    <w:rsid w:val="0057085B"/>
    <w:rsid w:val="00571D0A"/>
    <w:rsid w:val="00572B65"/>
    <w:rsid w:val="00580D4A"/>
    <w:rsid w:val="0058230A"/>
    <w:rsid w:val="005843B1"/>
    <w:rsid w:val="00584AAB"/>
    <w:rsid w:val="0059038A"/>
    <w:rsid w:val="00594DEB"/>
    <w:rsid w:val="0059558C"/>
    <w:rsid w:val="00596184"/>
    <w:rsid w:val="005A2721"/>
    <w:rsid w:val="005A3601"/>
    <w:rsid w:val="005A3DA8"/>
    <w:rsid w:val="005A4889"/>
    <w:rsid w:val="005A4B34"/>
    <w:rsid w:val="005A7CF8"/>
    <w:rsid w:val="005B1BF6"/>
    <w:rsid w:val="005B1CB2"/>
    <w:rsid w:val="005B204D"/>
    <w:rsid w:val="005B2BB9"/>
    <w:rsid w:val="005B3D56"/>
    <w:rsid w:val="005B3DF9"/>
    <w:rsid w:val="005B60CF"/>
    <w:rsid w:val="005B7141"/>
    <w:rsid w:val="005C05EE"/>
    <w:rsid w:val="005C3253"/>
    <w:rsid w:val="005C4527"/>
    <w:rsid w:val="005D0E48"/>
    <w:rsid w:val="005D14F3"/>
    <w:rsid w:val="005D1C32"/>
    <w:rsid w:val="005D201C"/>
    <w:rsid w:val="005D2E90"/>
    <w:rsid w:val="005D2E95"/>
    <w:rsid w:val="005D4EBE"/>
    <w:rsid w:val="005D540A"/>
    <w:rsid w:val="005E0739"/>
    <w:rsid w:val="005E08C2"/>
    <w:rsid w:val="005E19CC"/>
    <w:rsid w:val="005E2587"/>
    <w:rsid w:val="005E31C7"/>
    <w:rsid w:val="005E425C"/>
    <w:rsid w:val="005E63A2"/>
    <w:rsid w:val="005F0A72"/>
    <w:rsid w:val="005F2F31"/>
    <w:rsid w:val="005F4F1D"/>
    <w:rsid w:val="005F5A89"/>
    <w:rsid w:val="0060092E"/>
    <w:rsid w:val="00602081"/>
    <w:rsid w:val="0060211E"/>
    <w:rsid w:val="00602127"/>
    <w:rsid w:val="006021E7"/>
    <w:rsid w:val="006067F5"/>
    <w:rsid w:val="00607438"/>
    <w:rsid w:val="006075E8"/>
    <w:rsid w:val="00610392"/>
    <w:rsid w:val="00610954"/>
    <w:rsid w:val="0061105C"/>
    <w:rsid w:val="00613C0E"/>
    <w:rsid w:val="00613DA8"/>
    <w:rsid w:val="00615B79"/>
    <w:rsid w:val="00616AB7"/>
    <w:rsid w:val="00617410"/>
    <w:rsid w:val="00621225"/>
    <w:rsid w:val="00622090"/>
    <w:rsid w:val="00622F01"/>
    <w:rsid w:val="006252A2"/>
    <w:rsid w:val="00625767"/>
    <w:rsid w:val="00627ADF"/>
    <w:rsid w:val="006345BC"/>
    <w:rsid w:val="006350F1"/>
    <w:rsid w:val="00637D5E"/>
    <w:rsid w:val="006401CC"/>
    <w:rsid w:val="00640D1E"/>
    <w:rsid w:val="00640D68"/>
    <w:rsid w:val="00642384"/>
    <w:rsid w:val="0064286A"/>
    <w:rsid w:val="00642FC1"/>
    <w:rsid w:val="00643493"/>
    <w:rsid w:val="00644244"/>
    <w:rsid w:val="00646B23"/>
    <w:rsid w:val="00652FEA"/>
    <w:rsid w:val="00654F8E"/>
    <w:rsid w:val="006563EA"/>
    <w:rsid w:val="00656447"/>
    <w:rsid w:val="006564FC"/>
    <w:rsid w:val="00656D72"/>
    <w:rsid w:val="00657967"/>
    <w:rsid w:val="0066328A"/>
    <w:rsid w:val="006634C4"/>
    <w:rsid w:val="006643F4"/>
    <w:rsid w:val="0066460E"/>
    <w:rsid w:val="0066564A"/>
    <w:rsid w:val="00665CD6"/>
    <w:rsid w:val="006731FE"/>
    <w:rsid w:val="006818FF"/>
    <w:rsid w:val="006828FB"/>
    <w:rsid w:val="00684448"/>
    <w:rsid w:val="006853B2"/>
    <w:rsid w:val="00691A71"/>
    <w:rsid w:val="00691B04"/>
    <w:rsid w:val="006935F8"/>
    <w:rsid w:val="006945A1"/>
    <w:rsid w:val="006957BA"/>
    <w:rsid w:val="00695EAA"/>
    <w:rsid w:val="00697CCC"/>
    <w:rsid w:val="006A29ED"/>
    <w:rsid w:val="006A5A51"/>
    <w:rsid w:val="006A60A8"/>
    <w:rsid w:val="006B079F"/>
    <w:rsid w:val="006B0DE6"/>
    <w:rsid w:val="006B65B8"/>
    <w:rsid w:val="006C05DD"/>
    <w:rsid w:val="006C2BD0"/>
    <w:rsid w:val="006C35CF"/>
    <w:rsid w:val="006C3781"/>
    <w:rsid w:val="006C45CA"/>
    <w:rsid w:val="006C6C42"/>
    <w:rsid w:val="006C6F73"/>
    <w:rsid w:val="006C7EB3"/>
    <w:rsid w:val="006D0465"/>
    <w:rsid w:val="006D0868"/>
    <w:rsid w:val="006D0890"/>
    <w:rsid w:val="006D0CFC"/>
    <w:rsid w:val="006D1B8E"/>
    <w:rsid w:val="006D2112"/>
    <w:rsid w:val="006D2267"/>
    <w:rsid w:val="006D26FB"/>
    <w:rsid w:val="006D358C"/>
    <w:rsid w:val="006D3DD0"/>
    <w:rsid w:val="006D4487"/>
    <w:rsid w:val="006D4ADA"/>
    <w:rsid w:val="006D5CD0"/>
    <w:rsid w:val="006D5CFA"/>
    <w:rsid w:val="006E0FF9"/>
    <w:rsid w:val="006E267A"/>
    <w:rsid w:val="006E61F3"/>
    <w:rsid w:val="006E71FA"/>
    <w:rsid w:val="006F25A8"/>
    <w:rsid w:val="006F2F79"/>
    <w:rsid w:val="006F5099"/>
    <w:rsid w:val="006F5E74"/>
    <w:rsid w:val="006F66AA"/>
    <w:rsid w:val="006F7515"/>
    <w:rsid w:val="006F76B9"/>
    <w:rsid w:val="00701703"/>
    <w:rsid w:val="007041DA"/>
    <w:rsid w:val="00705AFD"/>
    <w:rsid w:val="00710609"/>
    <w:rsid w:val="007123A3"/>
    <w:rsid w:val="00712508"/>
    <w:rsid w:val="00712DAA"/>
    <w:rsid w:val="00716805"/>
    <w:rsid w:val="00716A0A"/>
    <w:rsid w:val="00721EE7"/>
    <w:rsid w:val="00722A94"/>
    <w:rsid w:val="007232CF"/>
    <w:rsid w:val="00723348"/>
    <w:rsid w:val="007238DA"/>
    <w:rsid w:val="007255B3"/>
    <w:rsid w:val="00725670"/>
    <w:rsid w:val="0072690A"/>
    <w:rsid w:val="00726F2D"/>
    <w:rsid w:val="0073153E"/>
    <w:rsid w:val="007333CF"/>
    <w:rsid w:val="0073400F"/>
    <w:rsid w:val="00734857"/>
    <w:rsid w:val="0074069E"/>
    <w:rsid w:val="00740E80"/>
    <w:rsid w:val="00741971"/>
    <w:rsid w:val="007455CB"/>
    <w:rsid w:val="00747C50"/>
    <w:rsid w:val="00753282"/>
    <w:rsid w:val="00753450"/>
    <w:rsid w:val="00754A26"/>
    <w:rsid w:val="0075544A"/>
    <w:rsid w:val="00755FE0"/>
    <w:rsid w:val="0075611E"/>
    <w:rsid w:val="00756577"/>
    <w:rsid w:val="00757FD6"/>
    <w:rsid w:val="00760F6A"/>
    <w:rsid w:val="00762389"/>
    <w:rsid w:val="00763603"/>
    <w:rsid w:val="007656A0"/>
    <w:rsid w:val="00766315"/>
    <w:rsid w:val="00770EE2"/>
    <w:rsid w:val="0077199D"/>
    <w:rsid w:val="00772C7E"/>
    <w:rsid w:val="00774307"/>
    <w:rsid w:val="00775476"/>
    <w:rsid w:val="0078143A"/>
    <w:rsid w:val="00781811"/>
    <w:rsid w:val="00783B07"/>
    <w:rsid w:val="00784F1B"/>
    <w:rsid w:val="00787390"/>
    <w:rsid w:val="007873F2"/>
    <w:rsid w:val="0079321E"/>
    <w:rsid w:val="007968CD"/>
    <w:rsid w:val="007970F8"/>
    <w:rsid w:val="007977FA"/>
    <w:rsid w:val="007A132B"/>
    <w:rsid w:val="007A1DB2"/>
    <w:rsid w:val="007A279C"/>
    <w:rsid w:val="007A46A5"/>
    <w:rsid w:val="007A7D5C"/>
    <w:rsid w:val="007B0BFB"/>
    <w:rsid w:val="007B165E"/>
    <w:rsid w:val="007B2DC1"/>
    <w:rsid w:val="007B2DE6"/>
    <w:rsid w:val="007B42EF"/>
    <w:rsid w:val="007B528E"/>
    <w:rsid w:val="007B5960"/>
    <w:rsid w:val="007C0227"/>
    <w:rsid w:val="007C0CF8"/>
    <w:rsid w:val="007C0F01"/>
    <w:rsid w:val="007C1B93"/>
    <w:rsid w:val="007C2111"/>
    <w:rsid w:val="007C21DD"/>
    <w:rsid w:val="007C2C06"/>
    <w:rsid w:val="007C631D"/>
    <w:rsid w:val="007D11AC"/>
    <w:rsid w:val="007D397D"/>
    <w:rsid w:val="007D39C2"/>
    <w:rsid w:val="007D62AF"/>
    <w:rsid w:val="007D6D4C"/>
    <w:rsid w:val="007E22A9"/>
    <w:rsid w:val="007E239B"/>
    <w:rsid w:val="007E291A"/>
    <w:rsid w:val="007E39C2"/>
    <w:rsid w:val="007F008C"/>
    <w:rsid w:val="007F0632"/>
    <w:rsid w:val="007F0C6F"/>
    <w:rsid w:val="007F1136"/>
    <w:rsid w:val="007F2991"/>
    <w:rsid w:val="007F2B0F"/>
    <w:rsid w:val="007F3B52"/>
    <w:rsid w:val="007F4C09"/>
    <w:rsid w:val="008018DF"/>
    <w:rsid w:val="00801F1B"/>
    <w:rsid w:val="00802423"/>
    <w:rsid w:val="00803E2B"/>
    <w:rsid w:val="00805185"/>
    <w:rsid w:val="00810664"/>
    <w:rsid w:val="00810937"/>
    <w:rsid w:val="0081462C"/>
    <w:rsid w:val="00814E73"/>
    <w:rsid w:val="00814EAA"/>
    <w:rsid w:val="00815B64"/>
    <w:rsid w:val="00816C91"/>
    <w:rsid w:val="00820F1E"/>
    <w:rsid w:val="00821299"/>
    <w:rsid w:val="00822DA0"/>
    <w:rsid w:val="0082368C"/>
    <w:rsid w:val="0082441E"/>
    <w:rsid w:val="008256B0"/>
    <w:rsid w:val="008302B1"/>
    <w:rsid w:val="00831165"/>
    <w:rsid w:val="00831A2C"/>
    <w:rsid w:val="00832AE1"/>
    <w:rsid w:val="008334BD"/>
    <w:rsid w:val="008337DF"/>
    <w:rsid w:val="00833EA7"/>
    <w:rsid w:val="00841DB5"/>
    <w:rsid w:val="0084407A"/>
    <w:rsid w:val="0084453B"/>
    <w:rsid w:val="00846510"/>
    <w:rsid w:val="00847472"/>
    <w:rsid w:val="00847D22"/>
    <w:rsid w:val="0085315A"/>
    <w:rsid w:val="00853672"/>
    <w:rsid w:val="00854223"/>
    <w:rsid w:val="00854F05"/>
    <w:rsid w:val="0085546F"/>
    <w:rsid w:val="00856B8C"/>
    <w:rsid w:val="0086064B"/>
    <w:rsid w:val="008610AB"/>
    <w:rsid w:val="008623DF"/>
    <w:rsid w:val="0086485F"/>
    <w:rsid w:val="008649A8"/>
    <w:rsid w:val="00870890"/>
    <w:rsid w:val="00870E41"/>
    <w:rsid w:val="00874C80"/>
    <w:rsid w:val="00874C82"/>
    <w:rsid w:val="00876F1C"/>
    <w:rsid w:val="008804CD"/>
    <w:rsid w:val="00880D1B"/>
    <w:rsid w:val="00881684"/>
    <w:rsid w:val="008816C9"/>
    <w:rsid w:val="00881D19"/>
    <w:rsid w:val="00881F04"/>
    <w:rsid w:val="00883A33"/>
    <w:rsid w:val="00884843"/>
    <w:rsid w:val="008855CC"/>
    <w:rsid w:val="008878E6"/>
    <w:rsid w:val="008903D8"/>
    <w:rsid w:val="008923FD"/>
    <w:rsid w:val="00892A04"/>
    <w:rsid w:val="00893545"/>
    <w:rsid w:val="0089731A"/>
    <w:rsid w:val="00897B2C"/>
    <w:rsid w:val="008A124E"/>
    <w:rsid w:val="008A1419"/>
    <w:rsid w:val="008A18C2"/>
    <w:rsid w:val="008A3B98"/>
    <w:rsid w:val="008A57DD"/>
    <w:rsid w:val="008A6C87"/>
    <w:rsid w:val="008B3262"/>
    <w:rsid w:val="008B3BE5"/>
    <w:rsid w:val="008B4E4F"/>
    <w:rsid w:val="008B59C4"/>
    <w:rsid w:val="008B7125"/>
    <w:rsid w:val="008C08B2"/>
    <w:rsid w:val="008C4094"/>
    <w:rsid w:val="008C4E44"/>
    <w:rsid w:val="008D0B4A"/>
    <w:rsid w:val="008D4039"/>
    <w:rsid w:val="008D4105"/>
    <w:rsid w:val="008D6D53"/>
    <w:rsid w:val="008E0203"/>
    <w:rsid w:val="008E0BE4"/>
    <w:rsid w:val="008E2108"/>
    <w:rsid w:val="008E4659"/>
    <w:rsid w:val="008E4847"/>
    <w:rsid w:val="008E517F"/>
    <w:rsid w:val="008E5C18"/>
    <w:rsid w:val="008E6DA4"/>
    <w:rsid w:val="008F0DAD"/>
    <w:rsid w:val="008F2235"/>
    <w:rsid w:val="008F2A65"/>
    <w:rsid w:val="008F38D8"/>
    <w:rsid w:val="008F4AA5"/>
    <w:rsid w:val="008F5156"/>
    <w:rsid w:val="008F5646"/>
    <w:rsid w:val="008F56B9"/>
    <w:rsid w:val="008F582F"/>
    <w:rsid w:val="0090000A"/>
    <w:rsid w:val="009005B9"/>
    <w:rsid w:val="00902701"/>
    <w:rsid w:val="00902FED"/>
    <w:rsid w:val="00903309"/>
    <w:rsid w:val="009038AF"/>
    <w:rsid w:val="0090495F"/>
    <w:rsid w:val="00904BF7"/>
    <w:rsid w:val="00905817"/>
    <w:rsid w:val="009058E0"/>
    <w:rsid w:val="00910BEF"/>
    <w:rsid w:val="0091178A"/>
    <w:rsid w:val="00912086"/>
    <w:rsid w:val="00912665"/>
    <w:rsid w:val="00912861"/>
    <w:rsid w:val="009135AF"/>
    <w:rsid w:val="00913C27"/>
    <w:rsid w:val="00913D98"/>
    <w:rsid w:val="009152CF"/>
    <w:rsid w:val="009154DF"/>
    <w:rsid w:val="00916147"/>
    <w:rsid w:val="00917150"/>
    <w:rsid w:val="0092247B"/>
    <w:rsid w:val="0092295E"/>
    <w:rsid w:val="00924C2C"/>
    <w:rsid w:val="00925674"/>
    <w:rsid w:val="00927662"/>
    <w:rsid w:val="00930062"/>
    <w:rsid w:val="009300D3"/>
    <w:rsid w:val="00932266"/>
    <w:rsid w:val="0093345F"/>
    <w:rsid w:val="0093398B"/>
    <w:rsid w:val="0093424C"/>
    <w:rsid w:val="0093496D"/>
    <w:rsid w:val="00936CCD"/>
    <w:rsid w:val="00937021"/>
    <w:rsid w:val="009377C3"/>
    <w:rsid w:val="00941514"/>
    <w:rsid w:val="00942239"/>
    <w:rsid w:val="009423A8"/>
    <w:rsid w:val="00946F03"/>
    <w:rsid w:val="00952062"/>
    <w:rsid w:val="009548EA"/>
    <w:rsid w:val="00954D33"/>
    <w:rsid w:val="00955203"/>
    <w:rsid w:val="0095576D"/>
    <w:rsid w:val="00955805"/>
    <w:rsid w:val="00955F4A"/>
    <w:rsid w:val="00960747"/>
    <w:rsid w:val="00961C4F"/>
    <w:rsid w:val="00961FAC"/>
    <w:rsid w:val="0096367E"/>
    <w:rsid w:val="00964154"/>
    <w:rsid w:val="00965EFA"/>
    <w:rsid w:val="009667F0"/>
    <w:rsid w:val="00966882"/>
    <w:rsid w:val="009670B1"/>
    <w:rsid w:val="00967DE8"/>
    <w:rsid w:val="00970B03"/>
    <w:rsid w:val="009719E0"/>
    <w:rsid w:val="009746D4"/>
    <w:rsid w:val="00975885"/>
    <w:rsid w:val="0097602C"/>
    <w:rsid w:val="00982015"/>
    <w:rsid w:val="00982713"/>
    <w:rsid w:val="00991188"/>
    <w:rsid w:val="00991286"/>
    <w:rsid w:val="00991739"/>
    <w:rsid w:val="00991F32"/>
    <w:rsid w:val="0099392B"/>
    <w:rsid w:val="00994B31"/>
    <w:rsid w:val="00996DA4"/>
    <w:rsid w:val="00997F4E"/>
    <w:rsid w:val="009A12F4"/>
    <w:rsid w:val="009A2797"/>
    <w:rsid w:val="009A2ECE"/>
    <w:rsid w:val="009A368E"/>
    <w:rsid w:val="009A3782"/>
    <w:rsid w:val="009A537D"/>
    <w:rsid w:val="009A5584"/>
    <w:rsid w:val="009A5C29"/>
    <w:rsid w:val="009A6A5C"/>
    <w:rsid w:val="009B072B"/>
    <w:rsid w:val="009B09CD"/>
    <w:rsid w:val="009B0D7B"/>
    <w:rsid w:val="009B0DE8"/>
    <w:rsid w:val="009B37C8"/>
    <w:rsid w:val="009B385F"/>
    <w:rsid w:val="009B4D67"/>
    <w:rsid w:val="009B59CD"/>
    <w:rsid w:val="009B6900"/>
    <w:rsid w:val="009B7D43"/>
    <w:rsid w:val="009C081D"/>
    <w:rsid w:val="009C306E"/>
    <w:rsid w:val="009C36CC"/>
    <w:rsid w:val="009C4469"/>
    <w:rsid w:val="009C55DC"/>
    <w:rsid w:val="009C6338"/>
    <w:rsid w:val="009C6C6D"/>
    <w:rsid w:val="009D20E2"/>
    <w:rsid w:val="009D23A9"/>
    <w:rsid w:val="009D2618"/>
    <w:rsid w:val="009D4D86"/>
    <w:rsid w:val="009E0D4B"/>
    <w:rsid w:val="009E0DA5"/>
    <w:rsid w:val="009E1739"/>
    <w:rsid w:val="009E2265"/>
    <w:rsid w:val="009E23F5"/>
    <w:rsid w:val="009E2C8C"/>
    <w:rsid w:val="009E3A09"/>
    <w:rsid w:val="009E74A8"/>
    <w:rsid w:val="009E7CC8"/>
    <w:rsid w:val="009F1688"/>
    <w:rsid w:val="009F3BDB"/>
    <w:rsid w:val="009F4673"/>
    <w:rsid w:val="009F5720"/>
    <w:rsid w:val="009F5AB9"/>
    <w:rsid w:val="009F67BB"/>
    <w:rsid w:val="009F7215"/>
    <w:rsid w:val="009F767D"/>
    <w:rsid w:val="009F7E9E"/>
    <w:rsid w:val="00A00FE9"/>
    <w:rsid w:val="00A0364C"/>
    <w:rsid w:val="00A0768A"/>
    <w:rsid w:val="00A10120"/>
    <w:rsid w:val="00A13671"/>
    <w:rsid w:val="00A179A5"/>
    <w:rsid w:val="00A20E09"/>
    <w:rsid w:val="00A2178D"/>
    <w:rsid w:val="00A23A76"/>
    <w:rsid w:val="00A2516E"/>
    <w:rsid w:val="00A2693F"/>
    <w:rsid w:val="00A27EBD"/>
    <w:rsid w:val="00A31446"/>
    <w:rsid w:val="00A36689"/>
    <w:rsid w:val="00A36715"/>
    <w:rsid w:val="00A36C05"/>
    <w:rsid w:val="00A408D1"/>
    <w:rsid w:val="00A41331"/>
    <w:rsid w:val="00A42E1F"/>
    <w:rsid w:val="00A4673C"/>
    <w:rsid w:val="00A51F62"/>
    <w:rsid w:val="00A52DC9"/>
    <w:rsid w:val="00A54101"/>
    <w:rsid w:val="00A548FC"/>
    <w:rsid w:val="00A56FA6"/>
    <w:rsid w:val="00A57BBB"/>
    <w:rsid w:val="00A57C25"/>
    <w:rsid w:val="00A60118"/>
    <w:rsid w:val="00A6129A"/>
    <w:rsid w:val="00A62EF7"/>
    <w:rsid w:val="00A634D9"/>
    <w:rsid w:val="00A65552"/>
    <w:rsid w:val="00A66906"/>
    <w:rsid w:val="00A67C3E"/>
    <w:rsid w:val="00A70A95"/>
    <w:rsid w:val="00A71FFD"/>
    <w:rsid w:val="00A732CC"/>
    <w:rsid w:val="00A747D1"/>
    <w:rsid w:val="00A7714F"/>
    <w:rsid w:val="00A77532"/>
    <w:rsid w:val="00A7790D"/>
    <w:rsid w:val="00A77ED9"/>
    <w:rsid w:val="00A80D3F"/>
    <w:rsid w:val="00A82A57"/>
    <w:rsid w:val="00A84098"/>
    <w:rsid w:val="00A84A59"/>
    <w:rsid w:val="00A86695"/>
    <w:rsid w:val="00A873B3"/>
    <w:rsid w:val="00A935EC"/>
    <w:rsid w:val="00A96128"/>
    <w:rsid w:val="00A97FD2"/>
    <w:rsid w:val="00AA1559"/>
    <w:rsid w:val="00AA5697"/>
    <w:rsid w:val="00AA5CCF"/>
    <w:rsid w:val="00AA61AA"/>
    <w:rsid w:val="00AB017B"/>
    <w:rsid w:val="00AB16A1"/>
    <w:rsid w:val="00AB3D19"/>
    <w:rsid w:val="00AB5D85"/>
    <w:rsid w:val="00AB732A"/>
    <w:rsid w:val="00AC070F"/>
    <w:rsid w:val="00AC18D8"/>
    <w:rsid w:val="00AC1D15"/>
    <w:rsid w:val="00AC356E"/>
    <w:rsid w:val="00AC57F9"/>
    <w:rsid w:val="00AD14B3"/>
    <w:rsid w:val="00AD2AC8"/>
    <w:rsid w:val="00AD2B67"/>
    <w:rsid w:val="00AD3CF5"/>
    <w:rsid w:val="00AD4F0B"/>
    <w:rsid w:val="00AD5739"/>
    <w:rsid w:val="00AD594E"/>
    <w:rsid w:val="00AD5AE5"/>
    <w:rsid w:val="00AD7C52"/>
    <w:rsid w:val="00AE1683"/>
    <w:rsid w:val="00AE2AF4"/>
    <w:rsid w:val="00AE3DDB"/>
    <w:rsid w:val="00AE5392"/>
    <w:rsid w:val="00AF136E"/>
    <w:rsid w:val="00AF420C"/>
    <w:rsid w:val="00AF4316"/>
    <w:rsid w:val="00AF6269"/>
    <w:rsid w:val="00AF7DAD"/>
    <w:rsid w:val="00B02A59"/>
    <w:rsid w:val="00B0352F"/>
    <w:rsid w:val="00B04239"/>
    <w:rsid w:val="00B06FCC"/>
    <w:rsid w:val="00B07402"/>
    <w:rsid w:val="00B10B9A"/>
    <w:rsid w:val="00B1231F"/>
    <w:rsid w:val="00B1250A"/>
    <w:rsid w:val="00B13C1C"/>
    <w:rsid w:val="00B1461B"/>
    <w:rsid w:val="00B17DB9"/>
    <w:rsid w:val="00B20F7D"/>
    <w:rsid w:val="00B21B96"/>
    <w:rsid w:val="00B227C9"/>
    <w:rsid w:val="00B227E3"/>
    <w:rsid w:val="00B22D8B"/>
    <w:rsid w:val="00B23307"/>
    <w:rsid w:val="00B23359"/>
    <w:rsid w:val="00B25E77"/>
    <w:rsid w:val="00B276F7"/>
    <w:rsid w:val="00B3123A"/>
    <w:rsid w:val="00B314F0"/>
    <w:rsid w:val="00B31CD3"/>
    <w:rsid w:val="00B33810"/>
    <w:rsid w:val="00B34404"/>
    <w:rsid w:val="00B34799"/>
    <w:rsid w:val="00B34C95"/>
    <w:rsid w:val="00B350C2"/>
    <w:rsid w:val="00B355E6"/>
    <w:rsid w:val="00B363EB"/>
    <w:rsid w:val="00B37139"/>
    <w:rsid w:val="00B37BD2"/>
    <w:rsid w:val="00B40E92"/>
    <w:rsid w:val="00B41773"/>
    <w:rsid w:val="00B4223E"/>
    <w:rsid w:val="00B42B34"/>
    <w:rsid w:val="00B441DB"/>
    <w:rsid w:val="00B45402"/>
    <w:rsid w:val="00B4620C"/>
    <w:rsid w:val="00B46CB8"/>
    <w:rsid w:val="00B51C1D"/>
    <w:rsid w:val="00B540A7"/>
    <w:rsid w:val="00B5480F"/>
    <w:rsid w:val="00B568DA"/>
    <w:rsid w:val="00B56E2C"/>
    <w:rsid w:val="00B579A0"/>
    <w:rsid w:val="00B61158"/>
    <w:rsid w:val="00B61544"/>
    <w:rsid w:val="00B6564D"/>
    <w:rsid w:val="00B65834"/>
    <w:rsid w:val="00B659E9"/>
    <w:rsid w:val="00B65F94"/>
    <w:rsid w:val="00B70FCC"/>
    <w:rsid w:val="00B71D4E"/>
    <w:rsid w:val="00B73197"/>
    <w:rsid w:val="00B75A5B"/>
    <w:rsid w:val="00B77923"/>
    <w:rsid w:val="00B81D93"/>
    <w:rsid w:val="00B82E51"/>
    <w:rsid w:val="00B84B11"/>
    <w:rsid w:val="00B85826"/>
    <w:rsid w:val="00B87D6C"/>
    <w:rsid w:val="00B90EDA"/>
    <w:rsid w:val="00B91412"/>
    <w:rsid w:val="00B94311"/>
    <w:rsid w:val="00B95453"/>
    <w:rsid w:val="00B95F82"/>
    <w:rsid w:val="00B9703B"/>
    <w:rsid w:val="00B97315"/>
    <w:rsid w:val="00B97C5D"/>
    <w:rsid w:val="00BA0625"/>
    <w:rsid w:val="00BA1714"/>
    <w:rsid w:val="00BA1BF6"/>
    <w:rsid w:val="00BA3013"/>
    <w:rsid w:val="00BA3231"/>
    <w:rsid w:val="00BA5A53"/>
    <w:rsid w:val="00BA5C4F"/>
    <w:rsid w:val="00BA7F76"/>
    <w:rsid w:val="00BB0E35"/>
    <w:rsid w:val="00BB111C"/>
    <w:rsid w:val="00BB1596"/>
    <w:rsid w:val="00BB3A6F"/>
    <w:rsid w:val="00BB53CC"/>
    <w:rsid w:val="00BB582F"/>
    <w:rsid w:val="00BB725E"/>
    <w:rsid w:val="00BC0899"/>
    <w:rsid w:val="00BC1847"/>
    <w:rsid w:val="00BC1FAC"/>
    <w:rsid w:val="00BC2B59"/>
    <w:rsid w:val="00BC4DD4"/>
    <w:rsid w:val="00BC56D6"/>
    <w:rsid w:val="00BC671A"/>
    <w:rsid w:val="00BD162D"/>
    <w:rsid w:val="00BD1DF7"/>
    <w:rsid w:val="00BD2C69"/>
    <w:rsid w:val="00BD328B"/>
    <w:rsid w:val="00BD372A"/>
    <w:rsid w:val="00BD3BBF"/>
    <w:rsid w:val="00BD418C"/>
    <w:rsid w:val="00BD46F8"/>
    <w:rsid w:val="00BD4D2B"/>
    <w:rsid w:val="00BD601B"/>
    <w:rsid w:val="00BD607F"/>
    <w:rsid w:val="00BD6F40"/>
    <w:rsid w:val="00BD6FD7"/>
    <w:rsid w:val="00BE1D87"/>
    <w:rsid w:val="00BE241A"/>
    <w:rsid w:val="00BE35D2"/>
    <w:rsid w:val="00BE3F14"/>
    <w:rsid w:val="00BE4968"/>
    <w:rsid w:val="00BE55BA"/>
    <w:rsid w:val="00BE789A"/>
    <w:rsid w:val="00BF155B"/>
    <w:rsid w:val="00BF15D8"/>
    <w:rsid w:val="00BF3BF2"/>
    <w:rsid w:val="00BF3D01"/>
    <w:rsid w:val="00BF56E4"/>
    <w:rsid w:val="00C03386"/>
    <w:rsid w:val="00C043CE"/>
    <w:rsid w:val="00C1078F"/>
    <w:rsid w:val="00C109D8"/>
    <w:rsid w:val="00C12F1F"/>
    <w:rsid w:val="00C13DA4"/>
    <w:rsid w:val="00C153A3"/>
    <w:rsid w:val="00C2168E"/>
    <w:rsid w:val="00C234EC"/>
    <w:rsid w:val="00C2372E"/>
    <w:rsid w:val="00C23A25"/>
    <w:rsid w:val="00C2431A"/>
    <w:rsid w:val="00C25164"/>
    <w:rsid w:val="00C2569E"/>
    <w:rsid w:val="00C25786"/>
    <w:rsid w:val="00C25C10"/>
    <w:rsid w:val="00C2770D"/>
    <w:rsid w:val="00C308B9"/>
    <w:rsid w:val="00C317CB"/>
    <w:rsid w:val="00C319C7"/>
    <w:rsid w:val="00C3283E"/>
    <w:rsid w:val="00C36F87"/>
    <w:rsid w:val="00C37D30"/>
    <w:rsid w:val="00C415B5"/>
    <w:rsid w:val="00C446F7"/>
    <w:rsid w:val="00C46375"/>
    <w:rsid w:val="00C467A6"/>
    <w:rsid w:val="00C46FCE"/>
    <w:rsid w:val="00C51193"/>
    <w:rsid w:val="00C51A95"/>
    <w:rsid w:val="00C521EC"/>
    <w:rsid w:val="00C52353"/>
    <w:rsid w:val="00C5303A"/>
    <w:rsid w:val="00C55D5B"/>
    <w:rsid w:val="00C55F1E"/>
    <w:rsid w:val="00C55FA9"/>
    <w:rsid w:val="00C571F4"/>
    <w:rsid w:val="00C6085C"/>
    <w:rsid w:val="00C61248"/>
    <w:rsid w:val="00C62F60"/>
    <w:rsid w:val="00C65072"/>
    <w:rsid w:val="00C65D0F"/>
    <w:rsid w:val="00C66F83"/>
    <w:rsid w:val="00C703B1"/>
    <w:rsid w:val="00C72926"/>
    <w:rsid w:val="00C73356"/>
    <w:rsid w:val="00C747CA"/>
    <w:rsid w:val="00C761A6"/>
    <w:rsid w:val="00C763B0"/>
    <w:rsid w:val="00C77C2F"/>
    <w:rsid w:val="00C80E12"/>
    <w:rsid w:val="00C83DCE"/>
    <w:rsid w:val="00C84F60"/>
    <w:rsid w:val="00C85DF7"/>
    <w:rsid w:val="00C8752E"/>
    <w:rsid w:val="00C925AC"/>
    <w:rsid w:val="00C941A5"/>
    <w:rsid w:val="00C94C70"/>
    <w:rsid w:val="00C957E5"/>
    <w:rsid w:val="00C95837"/>
    <w:rsid w:val="00C96E45"/>
    <w:rsid w:val="00CA0169"/>
    <w:rsid w:val="00CA597B"/>
    <w:rsid w:val="00CA6FA8"/>
    <w:rsid w:val="00CB0C67"/>
    <w:rsid w:val="00CB42C7"/>
    <w:rsid w:val="00CB4D7C"/>
    <w:rsid w:val="00CB5C43"/>
    <w:rsid w:val="00CB6867"/>
    <w:rsid w:val="00CC01ED"/>
    <w:rsid w:val="00CC1831"/>
    <w:rsid w:val="00CC2531"/>
    <w:rsid w:val="00CC3630"/>
    <w:rsid w:val="00CC36BF"/>
    <w:rsid w:val="00CC427A"/>
    <w:rsid w:val="00CC5D14"/>
    <w:rsid w:val="00CC7997"/>
    <w:rsid w:val="00CD03DA"/>
    <w:rsid w:val="00CD0761"/>
    <w:rsid w:val="00CD1119"/>
    <w:rsid w:val="00CD36A2"/>
    <w:rsid w:val="00CD3C55"/>
    <w:rsid w:val="00CD3F37"/>
    <w:rsid w:val="00CD4713"/>
    <w:rsid w:val="00CD5C9A"/>
    <w:rsid w:val="00CD608F"/>
    <w:rsid w:val="00CD6443"/>
    <w:rsid w:val="00CE10B7"/>
    <w:rsid w:val="00CE2082"/>
    <w:rsid w:val="00CE30B6"/>
    <w:rsid w:val="00CE31DF"/>
    <w:rsid w:val="00CE39D3"/>
    <w:rsid w:val="00CE5CBD"/>
    <w:rsid w:val="00CE5DB9"/>
    <w:rsid w:val="00CE5F4D"/>
    <w:rsid w:val="00CE71A9"/>
    <w:rsid w:val="00CF331C"/>
    <w:rsid w:val="00CF34AA"/>
    <w:rsid w:val="00CF3F9C"/>
    <w:rsid w:val="00CF5C73"/>
    <w:rsid w:val="00CF5E7C"/>
    <w:rsid w:val="00CF608B"/>
    <w:rsid w:val="00CF6384"/>
    <w:rsid w:val="00D00460"/>
    <w:rsid w:val="00D009C5"/>
    <w:rsid w:val="00D00F78"/>
    <w:rsid w:val="00D02A03"/>
    <w:rsid w:val="00D06002"/>
    <w:rsid w:val="00D1070B"/>
    <w:rsid w:val="00D10924"/>
    <w:rsid w:val="00D11314"/>
    <w:rsid w:val="00D11D03"/>
    <w:rsid w:val="00D11E64"/>
    <w:rsid w:val="00D127F5"/>
    <w:rsid w:val="00D1581F"/>
    <w:rsid w:val="00D15B2E"/>
    <w:rsid w:val="00D1728E"/>
    <w:rsid w:val="00D178B8"/>
    <w:rsid w:val="00D17B18"/>
    <w:rsid w:val="00D17D90"/>
    <w:rsid w:val="00D209E7"/>
    <w:rsid w:val="00D227D6"/>
    <w:rsid w:val="00D2414E"/>
    <w:rsid w:val="00D274C0"/>
    <w:rsid w:val="00D276B7"/>
    <w:rsid w:val="00D30E58"/>
    <w:rsid w:val="00D3246B"/>
    <w:rsid w:val="00D3359F"/>
    <w:rsid w:val="00D415A8"/>
    <w:rsid w:val="00D41CB4"/>
    <w:rsid w:val="00D41DB6"/>
    <w:rsid w:val="00D42BE6"/>
    <w:rsid w:val="00D4415B"/>
    <w:rsid w:val="00D444EE"/>
    <w:rsid w:val="00D45740"/>
    <w:rsid w:val="00D4690D"/>
    <w:rsid w:val="00D47A17"/>
    <w:rsid w:val="00D50721"/>
    <w:rsid w:val="00D50A89"/>
    <w:rsid w:val="00D50DC5"/>
    <w:rsid w:val="00D52153"/>
    <w:rsid w:val="00D525EC"/>
    <w:rsid w:val="00D533A4"/>
    <w:rsid w:val="00D55103"/>
    <w:rsid w:val="00D55268"/>
    <w:rsid w:val="00D557CE"/>
    <w:rsid w:val="00D60F01"/>
    <w:rsid w:val="00D617A7"/>
    <w:rsid w:val="00D62384"/>
    <w:rsid w:val="00D63A17"/>
    <w:rsid w:val="00D67AE1"/>
    <w:rsid w:val="00D70FA5"/>
    <w:rsid w:val="00D71446"/>
    <w:rsid w:val="00D72B20"/>
    <w:rsid w:val="00D73CFF"/>
    <w:rsid w:val="00D750CA"/>
    <w:rsid w:val="00D820EB"/>
    <w:rsid w:val="00D82340"/>
    <w:rsid w:val="00D82A11"/>
    <w:rsid w:val="00D84C06"/>
    <w:rsid w:val="00D84D32"/>
    <w:rsid w:val="00D85105"/>
    <w:rsid w:val="00D85D9F"/>
    <w:rsid w:val="00D94FC6"/>
    <w:rsid w:val="00DA3A8A"/>
    <w:rsid w:val="00DA4FAB"/>
    <w:rsid w:val="00DA683C"/>
    <w:rsid w:val="00DA76C0"/>
    <w:rsid w:val="00DB016B"/>
    <w:rsid w:val="00DB1B9B"/>
    <w:rsid w:val="00DB3FBA"/>
    <w:rsid w:val="00DB566E"/>
    <w:rsid w:val="00DB6251"/>
    <w:rsid w:val="00DB65CE"/>
    <w:rsid w:val="00DB6D53"/>
    <w:rsid w:val="00DB6E04"/>
    <w:rsid w:val="00DB7316"/>
    <w:rsid w:val="00DB7B20"/>
    <w:rsid w:val="00DC0D0A"/>
    <w:rsid w:val="00DC24B2"/>
    <w:rsid w:val="00DC28CC"/>
    <w:rsid w:val="00DC2F9F"/>
    <w:rsid w:val="00DC5AC8"/>
    <w:rsid w:val="00DC62EE"/>
    <w:rsid w:val="00DD08D0"/>
    <w:rsid w:val="00DD15D7"/>
    <w:rsid w:val="00DD2042"/>
    <w:rsid w:val="00DD2D83"/>
    <w:rsid w:val="00DD3113"/>
    <w:rsid w:val="00DD3A68"/>
    <w:rsid w:val="00DD676B"/>
    <w:rsid w:val="00DD7F01"/>
    <w:rsid w:val="00DE49CA"/>
    <w:rsid w:val="00DF009A"/>
    <w:rsid w:val="00DF0FAF"/>
    <w:rsid w:val="00DF1DDB"/>
    <w:rsid w:val="00DF4066"/>
    <w:rsid w:val="00DF58B0"/>
    <w:rsid w:val="00DF7606"/>
    <w:rsid w:val="00E0057C"/>
    <w:rsid w:val="00E042AA"/>
    <w:rsid w:val="00E06625"/>
    <w:rsid w:val="00E079C2"/>
    <w:rsid w:val="00E07C08"/>
    <w:rsid w:val="00E1394A"/>
    <w:rsid w:val="00E1598D"/>
    <w:rsid w:val="00E15CAD"/>
    <w:rsid w:val="00E15DA7"/>
    <w:rsid w:val="00E17142"/>
    <w:rsid w:val="00E1763B"/>
    <w:rsid w:val="00E23CA4"/>
    <w:rsid w:val="00E24752"/>
    <w:rsid w:val="00E252C2"/>
    <w:rsid w:val="00E2763C"/>
    <w:rsid w:val="00E308E1"/>
    <w:rsid w:val="00E31200"/>
    <w:rsid w:val="00E31CBE"/>
    <w:rsid w:val="00E3429A"/>
    <w:rsid w:val="00E3494C"/>
    <w:rsid w:val="00E36BFF"/>
    <w:rsid w:val="00E40177"/>
    <w:rsid w:val="00E424EE"/>
    <w:rsid w:val="00E44A50"/>
    <w:rsid w:val="00E46156"/>
    <w:rsid w:val="00E47FD7"/>
    <w:rsid w:val="00E5479C"/>
    <w:rsid w:val="00E551BC"/>
    <w:rsid w:val="00E56776"/>
    <w:rsid w:val="00E576C6"/>
    <w:rsid w:val="00E60C1A"/>
    <w:rsid w:val="00E62DEA"/>
    <w:rsid w:val="00E643E0"/>
    <w:rsid w:val="00E65613"/>
    <w:rsid w:val="00E70B41"/>
    <w:rsid w:val="00E71348"/>
    <w:rsid w:val="00E72863"/>
    <w:rsid w:val="00E72D87"/>
    <w:rsid w:val="00E73F12"/>
    <w:rsid w:val="00E74618"/>
    <w:rsid w:val="00E746AB"/>
    <w:rsid w:val="00E74FB9"/>
    <w:rsid w:val="00E75003"/>
    <w:rsid w:val="00E752E8"/>
    <w:rsid w:val="00E75D8D"/>
    <w:rsid w:val="00E809A5"/>
    <w:rsid w:val="00E80A32"/>
    <w:rsid w:val="00E80C54"/>
    <w:rsid w:val="00E83066"/>
    <w:rsid w:val="00E83EA2"/>
    <w:rsid w:val="00E83F45"/>
    <w:rsid w:val="00E86403"/>
    <w:rsid w:val="00E868DA"/>
    <w:rsid w:val="00E908A9"/>
    <w:rsid w:val="00E90FD7"/>
    <w:rsid w:val="00E914B7"/>
    <w:rsid w:val="00E914CE"/>
    <w:rsid w:val="00E91724"/>
    <w:rsid w:val="00E95B9C"/>
    <w:rsid w:val="00E97FC5"/>
    <w:rsid w:val="00EA0367"/>
    <w:rsid w:val="00EA0576"/>
    <w:rsid w:val="00EA4056"/>
    <w:rsid w:val="00EA62AF"/>
    <w:rsid w:val="00EA7AF6"/>
    <w:rsid w:val="00EB2F64"/>
    <w:rsid w:val="00EB31DF"/>
    <w:rsid w:val="00EB6FCD"/>
    <w:rsid w:val="00EB7A50"/>
    <w:rsid w:val="00EB7D7D"/>
    <w:rsid w:val="00EC0153"/>
    <w:rsid w:val="00EC2802"/>
    <w:rsid w:val="00EC3B7A"/>
    <w:rsid w:val="00EC3EA7"/>
    <w:rsid w:val="00EC542E"/>
    <w:rsid w:val="00EC5B35"/>
    <w:rsid w:val="00EC5D8D"/>
    <w:rsid w:val="00EC63BE"/>
    <w:rsid w:val="00EC6F90"/>
    <w:rsid w:val="00ED0BE9"/>
    <w:rsid w:val="00ED211B"/>
    <w:rsid w:val="00ED70F1"/>
    <w:rsid w:val="00ED712F"/>
    <w:rsid w:val="00ED76C8"/>
    <w:rsid w:val="00EE0A54"/>
    <w:rsid w:val="00EE1D76"/>
    <w:rsid w:val="00EE23BE"/>
    <w:rsid w:val="00EE42C8"/>
    <w:rsid w:val="00EE7978"/>
    <w:rsid w:val="00EF00D2"/>
    <w:rsid w:val="00EF1712"/>
    <w:rsid w:val="00EF296A"/>
    <w:rsid w:val="00EF314A"/>
    <w:rsid w:val="00EF6AC2"/>
    <w:rsid w:val="00F00409"/>
    <w:rsid w:val="00F0078A"/>
    <w:rsid w:val="00F00E3A"/>
    <w:rsid w:val="00F11448"/>
    <w:rsid w:val="00F11C05"/>
    <w:rsid w:val="00F164E2"/>
    <w:rsid w:val="00F20508"/>
    <w:rsid w:val="00F21D85"/>
    <w:rsid w:val="00F22311"/>
    <w:rsid w:val="00F22EB0"/>
    <w:rsid w:val="00F23F09"/>
    <w:rsid w:val="00F31451"/>
    <w:rsid w:val="00F34284"/>
    <w:rsid w:val="00F34ABE"/>
    <w:rsid w:val="00F373F8"/>
    <w:rsid w:val="00F40DFE"/>
    <w:rsid w:val="00F4130E"/>
    <w:rsid w:val="00F45BC7"/>
    <w:rsid w:val="00F45FC8"/>
    <w:rsid w:val="00F46F0A"/>
    <w:rsid w:val="00F5025E"/>
    <w:rsid w:val="00F5387A"/>
    <w:rsid w:val="00F54A5C"/>
    <w:rsid w:val="00F559E0"/>
    <w:rsid w:val="00F55F7D"/>
    <w:rsid w:val="00F56181"/>
    <w:rsid w:val="00F5673D"/>
    <w:rsid w:val="00F5731C"/>
    <w:rsid w:val="00F609C0"/>
    <w:rsid w:val="00F62B4D"/>
    <w:rsid w:val="00F63A04"/>
    <w:rsid w:val="00F678DD"/>
    <w:rsid w:val="00F707DC"/>
    <w:rsid w:val="00F71081"/>
    <w:rsid w:val="00F71462"/>
    <w:rsid w:val="00F7297A"/>
    <w:rsid w:val="00F72B20"/>
    <w:rsid w:val="00F76BF9"/>
    <w:rsid w:val="00F8090C"/>
    <w:rsid w:val="00F82883"/>
    <w:rsid w:val="00F8326A"/>
    <w:rsid w:val="00F837A5"/>
    <w:rsid w:val="00F83F5B"/>
    <w:rsid w:val="00F84ADB"/>
    <w:rsid w:val="00F85760"/>
    <w:rsid w:val="00F905DE"/>
    <w:rsid w:val="00F91A42"/>
    <w:rsid w:val="00F94692"/>
    <w:rsid w:val="00FA28E2"/>
    <w:rsid w:val="00FA5120"/>
    <w:rsid w:val="00FB4962"/>
    <w:rsid w:val="00FB5FD6"/>
    <w:rsid w:val="00FC115E"/>
    <w:rsid w:val="00FC1C6F"/>
    <w:rsid w:val="00FC313E"/>
    <w:rsid w:val="00FC5D72"/>
    <w:rsid w:val="00FD0A34"/>
    <w:rsid w:val="00FD14F2"/>
    <w:rsid w:val="00FD172F"/>
    <w:rsid w:val="00FD226E"/>
    <w:rsid w:val="00FD3C16"/>
    <w:rsid w:val="00FD3EA6"/>
    <w:rsid w:val="00FD6D0C"/>
    <w:rsid w:val="00FE11FD"/>
    <w:rsid w:val="00FE298B"/>
    <w:rsid w:val="00FE2D65"/>
    <w:rsid w:val="00FE2FE1"/>
    <w:rsid w:val="00FE3313"/>
    <w:rsid w:val="00FE3C4B"/>
    <w:rsid w:val="00FE4E11"/>
    <w:rsid w:val="00FE520F"/>
    <w:rsid w:val="00FE63CB"/>
    <w:rsid w:val="00FF0067"/>
    <w:rsid w:val="00FF0255"/>
    <w:rsid w:val="00FF192F"/>
    <w:rsid w:val="00FF2355"/>
    <w:rsid w:val="00FF3945"/>
    <w:rsid w:val="00FF3CD4"/>
    <w:rsid w:val="00FF5AEC"/>
    <w:rsid w:val="00FF6634"/>
    <w:rsid w:val="00FF78B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4BC080"/>
  <w15:chartTrackingRefBased/>
  <w15:docId w15:val="{D298969A-2291-4447-BDB3-03EADA08E9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00A03"/>
    <w:pPr>
      <w:spacing w:before="160" w:after="0" w:line="480" w:lineRule="auto"/>
      <w:ind w:firstLine="709"/>
    </w:pPr>
    <w:rPr>
      <w:rFonts w:ascii="Times New Roman" w:eastAsia="Calibri" w:hAnsi="Times New Roman" w:cs="Times New Roman"/>
      <w:sz w:val="24"/>
      <w:szCs w:val="24"/>
      <w:lang w:val="en-US"/>
    </w:rPr>
  </w:style>
  <w:style w:type="paragraph" w:styleId="Heading1">
    <w:name w:val="heading 1"/>
    <w:basedOn w:val="Normal"/>
    <w:next w:val="Normal"/>
    <w:link w:val="Heading1Char"/>
    <w:uiPriority w:val="9"/>
    <w:qFormat/>
    <w:rsid w:val="00292634"/>
    <w:pPr>
      <w:spacing w:before="360"/>
      <w:jc w:val="center"/>
      <w:outlineLvl w:val="0"/>
    </w:pPr>
    <w:rPr>
      <w:b/>
      <w:caps/>
    </w:rPr>
  </w:style>
  <w:style w:type="paragraph" w:styleId="Heading2">
    <w:name w:val="heading 2"/>
    <w:basedOn w:val="Normal"/>
    <w:next w:val="Normal"/>
    <w:link w:val="Heading2Char"/>
    <w:uiPriority w:val="9"/>
    <w:unhideWhenUsed/>
    <w:qFormat/>
    <w:rsid w:val="001E6427"/>
    <w:pPr>
      <w:ind w:firstLine="0"/>
      <w:outlineLvl w:val="1"/>
    </w:pPr>
    <w:rPr>
      <w:b/>
    </w:rPr>
  </w:style>
  <w:style w:type="paragraph" w:styleId="Heading3">
    <w:name w:val="heading 3"/>
    <w:basedOn w:val="Normal"/>
    <w:next w:val="Normal"/>
    <w:link w:val="Heading3Char"/>
    <w:uiPriority w:val="9"/>
    <w:unhideWhenUsed/>
    <w:qFormat/>
    <w:rsid w:val="001B4B83"/>
    <w:pPr>
      <w:ind w:left="709"/>
      <w:outlineLvl w:val="2"/>
    </w:pPr>
    <w:rPr>
      <w:b/>
      <w:i/>
    </w:rPr>
  </w:style>
  <w:style w:type="paragraph" w:styleId="Heading9">
    <w:name w:val="heading 9"/>
    <w:basedOn w:val="Normal"/>
    <w:next w:val="Normal"/>
    <w:link w:val="Heading9Char"/>
    <w:uiPriority w:val="9"/>
    <w:semiHidden/>
    <w:unhideWhenUsed/>
    <w:qFormat/>
    <w:rsid w:val="00351C24"/>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240F2"/>
    <w:rPr>
      <w:color w:val="0563C1"/>
      <w:u w:val="single"/>
    </w:rPr>
  </w:style>
  <w:style w:type="table" w:styleId="TableGrid">
    <w:name w:val="Table Grid"/>
    <w:basedOn w:val="TableNormal"/>
    <w:uiPriority w:val="39"/>
    <w:rsid w:val="004240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unhideWhenUsed/>
    <w:rsid w:val="00DC0D0A"/>
    <w:pPr>
      <w:spacing w:line="240" w:lineRule="auto"/>
      <w:ind w:left="170" w:hanging="170"/>
    </w:pPr>
    <w:rPr>
      <w:sz w:val="20"/>
      <w:szCs w:val="20"/>
    </w:rPr>
  </w:style>
  <w:style w:type="character" w:customStyle="1" w:styleId="FootnoteTextChar">
    <w:name w:val="Footnote Text Char"/>
    <w:basedOn w:val="DefaultParagraphFont"/>
    <w:link w:val="FootnoteText"/>
    <w:uiPriority w:val="99"/>
    <w:rsid w:val="00DC0D0A"/>
    <w:rPr>
      <w:rFonts w:ascii="Times New Roman" w:eastAsia="Calibri" w:hAnsi="Times New Roman" w:cs="Times New Roman"/>
      <w:sz w:val="20"/>
      <w:szCs w:val="20"/>
      <w:lang w:val="en-US"/>
    </w:rPr>
  </w:style>
  <w:style w:type="character" w:styleId="FootnoteReference">
    <w:name w:val="footnote reference"/>
    <w:basedOn w:val="DefaultParagraphFont"/>
    <w:uiPriority w:val="99"/>
    <w:semiHidden/>
    <w:unhideWhenUsed/>
    <w:rsid w:val="004240F2"/>
    <w:rPr>
      <w:vertAlign w:val="superscript"/>
    </w:rPr>
  </w:style>
  <w:style w:type="character" w:styleId="UnresolvedMention">
    <w:name w:val="Unresolved Mention"/>
    <w:basedOn w:val="DefaultParagraphFont"/>
    <w:uiPriority w:val="99"/>
    <w:semiHidden/>
    <w:unhideWhenUsed/>
    <w:rsid w:val="00A97FD2"/>
    <w:rPr>
      <w:color w:val="605E5C"/>
      <w:shd w:val="clear" w:color="auto" w:fill="E1DFDD"/>
    </w:rPr>
  </w:style>
  <w:style w:type="character" w:styleId="PlaceholderText">
    <w:name w:val="Placeholder Text"/>
    <w:basedOn w:val="DefaultParagraphFont"/>
    <w:uiPriority w:val="99"/>
    <w:semiHidden/>
    <w:rsid w:val="00DB6D53"/>
    <w:rPr>
      <w:color w:val="808080"/>
    </w:rPr>
  </w:style>
  <w:style w:type="paragraph" w:styleId="BalloonText">
    <w:name w:val="Balloon Text"/>
    <w:basedOn w:val="Normal"/>
    <w:link w:val="BalloonTextChar"/>
    <w:uiPriority w:val="99"/>
    <w:semiHidden/>
    <w:unhideWhenUsed/>
    <w:rsid w:val="007A279C"/>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A279C"/>
    <w:rPr>
      <w:rFonts w:ascii="Segoe UI" w:hAnsi="Segoe UI" w:cs="Segoe UI"/>
      <w:sz w:val="18"/>
      <w:szCs w:val="18"/>
      <w:lang w:val="de-DE"/>
    </w:rPr>
  </w:style>
  <w:style w:type="character" w:styleId="CommentReference">
    <w:name w:val="annotation reference"/>
    <w:basedOn w:val="DefaultParagraphFont"/>
    <w:uiPriority w:val="99"/>
    <w:semiHidden/>
    <w:unhideWhenUsed/>
    <w:rsid w:val="00BB53CC"/>
    <w:rPr>
      <w:sz w:val="16"/>
      <w:szCs w:val="16"/>
    </w:rPr>
  </w:style>
  <w:style w:type="paragraph" w:styleId="CommentText">
    <w:name w:val="annotation text"/>
    <w:basedOn w:val="Normal"/>
    <w:link w:val="CommentTextChar"/>
    <w:unhideWhenUsed/>
    <w:rsid w:val="00BB53CC"/>
    <w:pPr>
      <w:spacing w:line="240" w:lineRule="auto"/>
    </w:pPr>
    <w:rPr>
      <w:sz w:val="20"/>
      <w:szCs w:val="20"/>
    </w:rPr>
  </w:style>
  <w:style w:type="character" w:customStyle="1" w:styleId="CommentTextChar">
    <w:name w:val="Comment Text Char"/>
    <w:basedOn w:val="DefaultParagraphFont"/>
    <w:link w:val="CommentText"/>
    <w:rsid w:val="00BB53CC"/>
    <w:rPr>
      <w:sz w:val="20"/>
      <w:szCs w:val="20"/>
      <w:lang w:val="de-DE"/>
    </w:rPr>
  </w:style>
  <w:style w:type="paragraph" w:styleId="CommentSubject">
    <w:name w:val="annotation subject"/>
    <w:basedOn w:val="CommentText"/>
    <w:next w:val="CommentText"/>
    <w:link w:val="CommentSubjectChar"/>
    <w:uiPriority w:val="99"/>
    <w:semiHidden/>
    <w:unhideWhenUsed/>
    <w:rsid w:val="00BB53CC"/>
    <w:rPr>
      <w:b/>
      <w:bCs/>
    </w:rPr>
  </w:style>
  <w:style w:type="character" w:customStyle="1" w:styleId="CommentSubjectChar">
    <w:name w:val="Comment Subject Char"/>
    <w:basedOn w:val="CommentTextChar"/>
    <w:link w:val="CommentSubject"/>
    <w:uiPriority w:val="99"/>
    <w:semiHidden/>
    <w:rsid w:val="00BB53CC"/>
    <w:rPr>
      <w:b/>
      <w:bCs/>
      <w:sz w:val="20"/>
      <w:szCs w:val="20"/>
      <w:lang w:val="de-DE"/>
    </w:rPr>
  </w:style>
  <w:style w:type="paragraph" w:styleId="NoSpacing">
    <w:name w:val="No Spacing"/>
    <w:uiPriority w:val="1"/>
    <w:qFormat/>
    <w:rsid w:val="009E2C8C"/>
    <w:pPr>
      <w:spacing w:after="0" w:line="240" w:lineRule="auto"/>
    </w:pPr>
  </w:style>
  <w:style w:type="paragraph" w:styleId="Revision">
    <w:name w:val="Revision"/>
    <w:hidden/>
    <w:uiPriority w:val="99"/>
    <w:semiHidden/>
    <w:rsid w:val="00FE11FD"/>
    <w:pPr>
      <w:spacing w:after="0" w:line="240" w:lineRule="auto"/>
    </w:pPr>
  </w:style>
  <w:style w:type="paragraph" w:customStyle="1" w:styleId="Default">
    <w:name w:val="Default"/>
    <w:rsid w:val="007C631D"/>
    <w:pPr>
      <w:autoSpaceDE w:val="0"/>
      <w:autoSpaceDN w:val="0"/>
      <w:adjustRightInd w:val="0"/>
      <w:spacing w:after="0" w:line="240" w:lineRule="auto"/>
    </w:pPr>
    <w:rPr>
      <w:rFonts w:ascii="Ubuntu" w:hAnsi="Ubuntu" w:cs="Ubuntu"/>
      <w:color w:val="000000"/>
      <w:sz w:val="24"/>
      <w:szCs w:val="24"/>
    </w:rPr>
  </w:style>
  <w:style w:type="paragraph" w:styleId="Header">
    <w:name w:val="header"/>
    <w:basedOn w:val="Normal"/>
    <w:link w:val="HeaderChar"/>
    <w:uiPriority w:val="99"/>
    <w:unhideWhenUsed/>
    <w:rsid w:val="00DC5AC8"/>
    <w:pPr>
      <w:tabs>
        <w:tab w:val="center" w:pos="4513"/>
        <w:tab w:val="right" w:pos="9026"/>
      </w:tabs>
      <w:spacing w:line="240" w:lineRule="auto"/>
    </w:pPr>
  </w:style>
  <w:style w:type="character" w:customStyle="1" w:styleId="HeaderChar">
    <w:name w:val="Header Char"/>
    <w:basedOn w:val="DefaultParagraphFont"/>
    <w:link w:val="Header"/>
    <w:uiPriority w:val="99"/>
    <w:rsid w:val="00DC5AC8"/>
  </w:style>
  <w:style w:type="paragraph" w:styleId="Footer">
    <w:name w:val="footer"/>
    <w:basedOn w:val="Normal"/>
    <w:link w:val="FooterChar"/>
    <w:uiPriority w:val="99"/>
    <w:unhideWhenUsed/>
    <w:rsid w:val="00DC5AC8"/>
    <w:pPr>
      <w:tabs>
        <w:tab w:val="center" w:pos="4513"/>
        <w:tab w:val="right" w:pos="9026"/>
      </w:tabs>
      <w:spacing w:line="240" w:lineRule="auto"/>
    </w:pPr>
  </w:style>
  <w:style w:type="character" w:customStyle="1" w:styleId="FooterChar">
    <w:name w:val="Footer Char"/>
    <w:basedOn w:val="DefaultParagraphFont"/>
    <w:link w:val="Footer"/>
    <w:uiPriority w:val="99"/>
    <w:rsid w:val="00DC5AC8"/>
  </w:style>
  <w:style w:type="paragraph" w:styleId="ListParagraph">
    <w:name w:val="List Paragraph"/>
    <w:basedOn w:val="Normal"/>
    <w:link w:val="ListParagraphChar"/>
    <w:uiPriority w:val="34"/>
    <w:qFormat/>
    <w:rsid w:val="00351C24"/>
    <w:pPr>
      <w:ind w:left="720"/>
      <w:contextualSpacing/>
    </w:pPr>
  </w:style>
  <w:style w:type="character" w:customStyle="1" w:styleId="ListParagraphChar">
    <w:name w:val="List Paragraph Char"/>
    <w:basedOn w:val="DefaultParagraphFont"/>
    <w:link w:val="ListParagraph"/>
    <w:uiPriority w:val="34"/>
    <w:rsid w:val="00351C24"/>
  </w:style>
  <w:style w:type="paragraph" w:customStyle="1" w:styleId="CitaviBibliographySubheading8">
    <w:name w:val="Citavi Bibliography Subheading 8"/>
    <w:basedOn w:val="Heading9"/>
    <w:rsid w:val="00351C24"/>
    <w:pPr>
      <w:numPr>
        <w:ilvl w:val="1"/>
        <w:numId w:val="2"/>
      </w:numPr>
      <w:tabs>
        <w:tab w:val="num" w:pos="360"/>
      </w:tabs>
      <w:ind w:left="0" w:firstLine="0"/>
      <w:outlineLvl w:val="9"/>
    </w:pPr>
  </w:style>
  <w:style w:type="character" w:customStyle="1" w:styleId="Heading9Char">
    <w:name w:val="Heading 9 Char"/>
    <w:basedOn w:val="DefaultParagraphFont"/>
    <w:link w:val="Heading9"/>
    <w:uiPriority w:val="9"/>
    <w:semiHidden/>
    <w:rsid w:val="00351C24"/>
    <w:rPr>
      <w:rFonts w:asciiTheme="majorHAnsi" w:eastAsiaTheme="majorEastAsia" w:hAnsiTheme="majorHAnsi" w:cstheme="majorBidi"/>
      <w:i/>
      <w:iCs/>
      <w:color w:val="272727" w:themeColor="text1" w:themeTint="D8"/>
      <w:sz w:val="21"/>
      <w:szCs w:val="21"/>
    </w:rPr>
  </w:style>
  <w:style w:type="character" w:styleId="EndnoteReference">
    <w:name w:val="endnote reference"/>
    <w:basedOn w:val="DefaultParagraphFont"/>
    <w:uiPriority w:val="99"/>
    <w:semiHidden/>
    <w:unhideWhenUsed/>
    <w:rsid w:val="00A80D3F"/>
    <w:rPr>
      <w:vertAlign w:val="superscript"/>
    </w:rPr>
  </w:style>
  <w:style w:type="character" w:styleId="FollowedHyperlink">
    <w:name w:val="FollowedHyperlink"/>
    <w:basedOn w:val="DefaultParagraphFont"/>
    <w:uiPriority w:val="99"/>
    <w:semiHidden/>
    <w:unhideWhenUsed/>
    <w:rsid w:val="00F5025E"/>
    <w:rPr>
      <w:color w:val="954F72" w:themeColor="followedHyperlink"/>
      <w:u w:val="single"/>
    </w:rPr>
  </w:style>
  <w:style w:type="character" w:customStyle="1" w:styleId="Heading1Char">
    <w:name w:val="Heading 1 Char"/>
    <w:basedOn w:val="DefaultParagraphFont"/>
    <w:link w:val="Heading1"/>
    <w:uiPriority w:val="9"/>
    <w:rsid w:val="00292634"/>
    <w:rPr>
      <w:rFonts w:ascii="Times New Roman" w:eastAsia="Calibri" w:hAnsi="Times New Roman" w:cs="Times New Roman"/>
      <w:b/>
      <w:caps/>
      <w:sz w:val="24"/>
      <w:szCs w:val="24"/>
      <w:lang w:val="en-US"/>
    </w:rPr>
  </w:style>
  <w:style w:type="character" w:customStyle="1" w:styleId="Heading2Char">
    <w:name w:val="Heading 2 Char"/>
    <w:basedOn w:val="DefaultParagraphFont"/>
    <w:link w:val="Heading2"/>
    <w:uiPriority w:val="9"/>
    <w:rsid w:val="001E6427"/>
    <w:rPr>
      <w:rFonts w:ascii="Times New Roman" w:eastAsia="Calibri" w:hAnsi="Times New Roman" w:cs="Times New Roman"/>
      <w:b/>
      <w:sz w:val="24"/>
      <w:szCs w:val="24"/>
      <w:lang w:val="en-US"/>
    </w:rPr>
  </w:style>
  <w:style w:type="character" w:customStyle="1" w:styleId="Heading3Char">
    <w:name w:val="Heading 3 Char"/>
    <w:basedOn w:val="DefaultParagraphFont"/>
    <w:link w:val="Heading3"/>
    <w:uiPriority w:val="9"/>
    <w:rsid w:val="001B4B83"/>
    <w:rPr>
      <w:rFonts w:ascii="Times New Roman" w:eastAsia="Calibri" w:hAnsi="Times New Roman" w:cs="Times New Roman"/>
      <w:b/>
      <w:i/>
      <w:sz w:val="24"/>
      <w:szCs w:val="24"/>
      <w:lang w:val="en-US"/>
    </w:rPr>
  </w:style>
  <w:style w:type="character" w:styleId="Emphasis">
    <w:name w:val="Emphasis"/>
    <w:uiPriority w:val="20"/>
    <w:qFormat/>
    <w:rsid w:val="009E1739"/>
  </w:style>
  <w:style w:type="paragraph" w:styleId="Title">
    <w:name w:val="Title"/>
    <w:basedOn w:val="Heading1"/>
    <w:next w:val="Normal"/>
    <w:link w:val="TitleChar"/>
    <w:uiPriority w:val="10"/>
    <w:qFormat/>
    <w:rsid w:val="00B71D4E"/>
  </w:style>
  <w:style w:type="character" w:customStyle="1" w:styleId="TitleChar">
    <w:name w:val="Title Char"/>
    <w:basedOn w:val="DefaultParagraphFont"/>
    <w:link w:val="Title"/>
    <w:uiPriority w:val="10"/>
    <w:rsid w:val="00B71D4E"/>
    <w:rPr>
      <w:rFonts w:ascii="Times New Roman" w:eastAsia="Calibri" w:hAnsi="Times New Roman" w:cs="Times New Roman"/>
      <w:b/>
      <w:caps/>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566242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7.emf"/><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9.emf"/><Relationship Id="rId29" Type="http://schemas.openxmlformats.org/officeDocument/2006/relationships/image" Target="media/image18.png"/><Relationship Id="rId41" Type="http://schemas.openxmlformats.org/officeDocument/2006/relationships/image" Target="media/image3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image" Target="media/image2.png"/><Relationship Id="rId19" Type="http://schemas.openxmlformats.org/officeDocument/2006/relationships/image" Target="media/image8.emf"/><Relationship Id="rId31" Type="http://schemas.openxmlformats.org/officeDocument/2006/relationships/image" Target="media/image20.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 Id="rId22" Type="http://schemas.openxmlformats.org/officeDocument/2006/relationships/image" Target="media/image11.emf"/><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fontTable" Target="fontTable.xml"/><Relationship Id="rId8" Type="http://schemas.openxmlformats.org/officeDocument/2006/relationships/hyperlink" Target="https://genderize.io/" TargetMode="Externa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6.emf"/><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s>
</file>

<file path=word/_rels/footnotes.xml.rels><?xml version="1.0" encoding="UTF-8" standalone="yes"?>
<Relationships xmlns="http://schemas.openxmlformats.org/package/2006/relationships"><Relationship Id="rId3" Type="http://schemas.openxmlformats.org/officeDocument/2006/relationships/hyperlink" Target="https://www.wipo.int/treaties/en/classification/strasbourg/" TargetMode="External"/><Relationship Id="rId2" Type="http://schemas.openxmlformats.org/officeDocument/2006/relationships/hyperlink" Target="https://docs.google.com/document/d/1xQwyLt_6EXdNpA685LjmhjO20y5pZDZYwe2qeNoI5dE/edit" TargetMode="External"/><Relationship Id="rId1" Type="http://schemas.openxmlformats.org/officeDocument/2006/relationships/hyperlink" Target="https://github.com/rflynn/pro-file/tree/master/data" TargetMode="External"/><Relationship Id="rId4" Type="http://schemas.openxmlformats.org/officeDocument/2006/relationships/hyperlink" Target="https://www.patentsview.org/web/"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DDD661-7EAA-4BE5-A166-274CD7D670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57</Pages>
  <Words>57001</Words>
  <Characters>359108</Characters>
  <Application>Microsoft Office Word</Application>
  <DocSecurity>0</DocSecurity>
  <Lines>2992</Lines>
  <Paragraphs>830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415279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Schmallenbach Leo</dc:creator>
  <cp:keywords/>
  <dc:description/>
  <cp:lastModifiedBy>Singh Himani</cp:lastModifiedBy>
  <cp:revision>30</cp:revision>
  <cp:lastPrinted>2020-10-14T15:34:00Z</cp:lastPrinted>
  <dcterms:created xsi:type="dcterms:W3CDTF">2021-01-20T10:07:00Z</dcterms:created>
  <dcterms:modified xsi:type="dcterms:W3CDTF">2021-01-26T14:47:00Z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http://www.zotero.org/styles/academy-of-management-journal</vt:lpwstr>
  </property>
  <property fmtid="{D5CDD505-2E9C-101B-9397-08002B2CF9AE}" pid="3" name="Mendeley Recent Style Name 0_1">
    <vt:lpwstr>Academy of Management Journal</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8th edition</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http://www.zotero.org/styles/organization-science</vt:lpwstr>
  </property>
  <property fmtid="{D5CDD505-2E9C-101B-9397-08002B2CF9AE}" pid="21" name="Mendeley Recent Style Name 9_1">
    <vt:lpwstr>Organization Science</vt:lpwstr>
  </property>
  <property fmtid="{D5CDD505-2E9C-101B-9397-08002B2CF9AE}" pid="22" name="Mendeley Document_1">
    <vt:lpwstr>True</vt:lpwstr>
  </property>
  <property fmtid="{D5CDD505-2E9C-101B-9397-08002B2CF9AE}" pid="23" name="Mendeley Unique User Id_1">
    <vt:lpwstr>5b9ef951-c864-318f-99c3-779cf840a44d</vt:lpwstr>
  </property>
  <property fmtid="{D5CDD505-2E9C-101B-9397-08002B2CF9AE}" pid="24" name="Mendeley Citation Style_1">
    <vt:lpwstr>http://www.zotero.org/styles/academy-of-management-journal</vt:lpwstr>
  </property>
  <property fmtid="{D5CDD505-2E9C-101B-9397-08002B2CF9AE}" pid="25" name="CitaviDocumentProperty_6">
    <vt:lpwstr>True</vt:lpwstr>
  </property>
</Properties>
</file>